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A8" w:rsidRPr="001842E9" w:rsidRDefault="00161CF9" w:rsidP="001842E9">
      <w:pPr>
        <w:bidi/>
        <w:ind w:left="180" w:right="-180"/>
        <w:jc w:val="center"/>
        <w:rPr>
          <w:rFonts w:ascii="FrankRuehl" w:hAnsi="FrankRuehl" w:cs="FrankRuehl"/>
          <w:b/>
          <w:bCs/>
          <w:sz w:val="32"/>
          <w:szCs w:val="32"/>
          <w:u w:val="single"/>
          <w:lang w:bidi="he-IL"/>
        </w:rPr>
      </w:pPr>
      <w:r>
        <w:rPr>
          <w:rFonts w:ascii="FrankRuehl" w:hAnsi="FrankRuehl" w:cs="FrankRuehl" w:hint="cs"/>
          <w:b/>
          <w:bCs/>
          <w:sz w:val="32"/>
          <w:szCs w:val="32"/>
          <w:u w:val="single"/>
          <w:rtl/>
          <w:lang w:bidi="he-IL"/>
        </w:rPr>
        <w:t xml:space="preserve">מראי מקומות- </w:t>
      </w:r>
      <w:r w:rsidR="00E53FFB">
        <w:rPr>
          <w:rFonts w:ascii="FrankRuehl" w:hAnsi="FrankRuehl" w:cs="FrankRuehl" w:hint="cs"/>
          <w:b/>
          <w:bCs/>
          <w:sz w:val="32"/>
          <w:szCs w:val="32"/>
          <w:u w:val="single"/>
          <w:rtl/>
          <w:lang w:bidi="he-IL"/>
        </w:rPr>
        <w:t>זבחים</w:t>
      </w:r>
      <w:r w:rsidR="00A437C8">
        <w:rPr>
          <w:rFonts w:ascii="FrankRuehl" w:hAnsi="FrankRuehl" w:cs="FrankRuehl" w:hint="cs"/>
          <w:b/>
          <w:bCs/>
          <w:sz w:val="32"/>
          <w:szCs w:val="32"/>
          <w:u w:val="single"/>
          <w:rtl/>
          <w:lang w:bidi="he-IL"/>
        </w:rPr>
        <w:t xml:space="preserve"> ל"ט</w:t>
      </w:r>
    </w:p>
    <w:p w:rsidR="00857DDC" w:rsidRDefault="00355E2C" w:rsidP="00857DD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ומחשבה מועלת בהן, והתניא יצאו שירים והקטרת אימורין שאין מעכבין את הכפרה שאין מחשבה מועלת בהן</w:t>
      </w:r>
      <w:r w:rsidR="00857DDC">
        <w:rPr>
          <w:rFonts w:ascii="FrankRuehl" w:hAnsi="FrankRuehl" w:cs="FrankRuehl" w:hint="cs"/>
          <w:b/>
          <w:bCs/>
          <w:rtl/>
          <w:lang w:bidi="he-IL"/>
        </w:rPr>
        <w:t>-</w:t>
      </w:r>
      <w:r>
        <w:rPr>
          <w:rFonts w:ascii="FrankRuehl" w:hAnsi="FrankRuehl" w:cs="FrankRuehl" w:hint="cs"/>
          <w:rtl/>
          <w:lang w:bidi="he-IL"/>
        </w:rPr>
        <w:t>הק' ה</w:t>
      </w:r>
      <w:r>
        <w:rPr>
          <w:rFonts w:ascii="FrankRuehl" w:hAnsi="FrankRuehl" w:cs="FrankRuehl" w:hint="cs"/>
          <w:b/>
          <w:bCs/>
          <w:rtl/>
          <w:lang w:bidi="he-IL"/>
        </w:rPr>
        <w:t>עולת שלמה</w:t>
      </w:r>
      <w:r>
        <w:rPr>
          <w:rFonts w:ascii="FrankRuehl" w:hAnsi="FrankRuehl" w:cs="FrankRuehl" w:hint="cs"/>
          <w:rtl/>
          <w:lang w:bidi="he-IL"/>
        </w:rPr>
        <w:t xml:space="preserve">, לימא דמה דאמרי' מחשבה מועלת בהן, היינו היכא דחושב בשעת הזריקה ע"מ לשפוך השירים למחר, וכמו שהגמ' בדף י"ג ביאר הא דמחשבה מועלת בשירים. ותי' דאם אמרי' דהא דשירים מיירי בחושב בזריקה ע"מ לשפוך השירים למחר, א"כ לכאו' צ"ל דגם בסיפא מיירי כן, והיינו דצ"ל </w:t>
      </w:r>
      <w:r w:rsidR="005A184C">
        <w:rPr>
          <w:rFonts w:ascii="FrankRuehl" w:hAnsi="FrankRuehl" w:cs="FrankRuehl" w:hint="cs"/>
          <w:rtl/>
          <w:lang w:bidi="he-IL"/>
        </w:rPr>
        <w:t>דמה דאמרי' דדמים שנשפכים לאמה אין מחשבה מועלת בהן, היינו דאם חושב בשעת זריקה לשפוך לאמה למחר, דאין מחשבה מועלת בהן. וק' לומר דזהו ביאור הסיפא, שהרי בנשפכין לאמה לא שייך מחשבת שלא בזמנו, דבדמים פסולין אין זמן מסויים לשפוך לאמה. וגם מחשבת חוץ למקומו לא שייך בדמים פסולין, דכיון דכבר נפסלו, אין שייך בהו איסור יוצא, ואף דדיניהן לשופכן לאמה, מ"מ אם רוצה יכול לשופכן בחוץ. וכיון דבסיפא מיירי ע"כ שחשב בשעת השפיכה ע"מ אכילת בשר למחר, כן צ"ל ברישא.</w:t>
      </w:r>
    </w:p>
    <w:p w:rsidR="000F5200" w:rsidRDefault="000F5200" w:rsidP="000F5200">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כי תניא ההיא, בשלש מתנות שבחטאת-</w:t>
      </w:r>
      <w:r>
        <w:rPr>
          <w:rFonts w:ascii="FrankRuehl" w:hAnsi="FrankRuehl" w:cs="FrankRuehl" w:hint="cs"/>
          <w:rtl/>
          <w:lang w:bidi="he-IL"/>
        </w:rPr>
        <w:t xml:space="preserve"> הק' ה</w:t>
      </w:r>
      <w:r>
        <w:rPr>
          <w:rFonts w:ascii="FrankRuehl" w:hAnsi="FrankRuehl" w:cs="FrankRuehl" w:hint="cs"/>
          <w:b/>
          <w:bCs/>
          <w:rtl/>
          <w:lang w:bidi="he-IL"/>
        </w:rPr>
        <w:t>צאן קדשים</w:t>
      </w:r>
      <w:r>
        <w:rPr>
          <w:rFonts w:ascii="FrankRuehl" w:hAnsi="FrankRuehl" w:cs="FrankRuehl" w:hint="cs"/>
          <w:rtl/>
          <w:lang w:bidi="he-IL"/>
        </w:rPr>
        <w:t xml:space="preserve">, א"כ לימא לפלוג וליתני בדידה, כמו שהק' הגמ' לקמן, ולמה נקטי' בסיפא דמים הנשפכין לאמה, לימא דבשירים הדין הוא </w:t>
      </w:r>
      <w:r w:rsidR="00004CFC">
        <w:rPr>
          <w:rFonts w:ascii="FrankRuehl" w:hAnsi="FrankRuehl" w:cs="FrankRuehl" w:hint="cs"/>
          <w:rtl/>
          <w:lang w:bidi="he-IL"/>
        </w:rPr>
        <w:t>דאין טעונין כיבוס, וכו'. ותי' דכיון דהדין דאין מחשבה מועלת בהן כבר תנינן, א"כ שוב אין צריך למתני דאין מחשבה מועלת בהן, וא"כ אין סברא להק' לפלוג ולתני בדידה.</w:t>
      </w:r>
    </w:p>
    <w:p w:rsidR="00004CFC" w:rsidRDefault="00004CFC" w:rsidP="00004CF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ועשה כאשר עשה, מה בא ללמוד, לכפול בהזאתו ולמד שאם חיסר א' מכל המתנות לא עשה ולא כלום-</w:t>
      </w:r>
      <w:r>
        <w:rPr>
          <w:rFonts w:ascii="FrankRuehl" w:hAnsi="FrankRuehl" w:cs="FrankRuehl" w:hint="cs"/>
          <w:rtl/>
          <w:lang w:bidi="he-IL"/>
        </w:rPr>
        <w:t xml:space="preserve"> הק' ה</w:t>
      </w:r>
      <w:r>
        <w:rPr>
          <w:rFonts w:ascii="FrankRuehl" w:hAnsi="FrankRuehl" w:cs="FrankRuehl" w:hint="cs"/>
          <w:b/>
          <w:bCs/>
          <w:rtl/>
          <w:lang w:bidi="he-IL"/>
        </w:rPr>
        <w:t>חק נתן</w:t>
      </w:r>
      <w:r>
        <w:rPr>
          <w:rFonts w:ascii="FrankRuehl" w:hAnsi="FrankRuehl" w:cs="FrankRuehl" w:hint="cs"/>
          <w:rtl/>
          <w:lang w:bidi="he-IL"/>
        </w:rPr>
        <w:t xml:space="preserve"> מכאן על מש"כ ה</w:t>
      </w:r>
      <w:r>
        <w:rPr>
          <w:rFonts w:ascii="FrankRuehl" w:hAnsi="FrankRuehl" w:cs="FrankRuehl" w:hint="cs"/>
          <w:b/>
          <w:bCs/>
          <w:rtl/>
          <w:lang w:bidi="he-IL"/>
        </w:rPr>
        <w:t>רמב"ם</w:t>
      </w:r>
      <w:r>
        <w:rPr>
          <w:rFonts w:ascii="FrankRuehl" w:hAnsi="FrankRuehl" w:cs="FrankRuehl" w:hint="cs"/>
          <w:rtl/>
          <w:lang w:bidi="he-IL"/>
        </w:rPr>
        <w:t xml:space="preserve"> דהמקור דמתנת ז' מעכב הוא ממה דהקפיד התורה על מניינן, שהרי נאמר שבע פעמים. אבל מסוגיין נראה ד</w:t>
      </w:r>
      <w:r w:rsidR="00791B20">
        <w:rPr>
          <w:rFonts w:ascii="FrankRuehl" w:hAnsi="FrankRuehl" w:cs="FrankRuehl" w:hint="cs"/>
          <w:rtl/>
          <w:lang w:bidi="he-IL"/>
        </w:rPr>
        <w:t>המקור הוא ממה דכתיב ועשה כאשר עשה. ועוד ק' להרמב"ם, דאם העיכוב נלמד מהא דהתורה הקפיד על מניינן, א"כ מנלן דמתן ארבע מעכבי, הא לא הקפיד התורה על מניינן. ועוד, הא לא כתב הרמב"ם כלל דמתן ד' מעכב, ולמה, הרי כאן בברייתא מבואר דמעכב, והניח כל זה בצ"ע.</w:t>
      </w:r>
    </w:p>
    <w:p w:rsidR="005C0D1C" w:rsidRDefault="005C0D1C" w:rsidP="005C0D1C">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 xml:space="preserve">אין לי אלא מתן ז', שמעכבות בכל מקום, מתן ד' </w:t>
      </w:r>
      <w:r w:rsidR="00301261">
        <w:rPr>
          <w:rFonts w:ascii="FrankRuehl" w:hAnsi="FrankRuehl" w:cs="FrankRuehl" w:hint="cs"/>
          <w:b/>
          <w:bCs/>
          <w:rtl/>
          <w:lang w:bidi="he-IL"/>
        </w:rPr>
        <w:t>מניין-</w:t>
      </w:r>
      <w:r w:rsidR="00301261">
        <w:rPr>
          <w:rFonts w:ascii="FrankRuehl" w:hAnsi="FrankRuehl" w:cs="FrankRuehl" w:hint="cs"/>
          <w:rtl/>
          <w:lang w:bidi="he-IL"/>
        </w:rPr>
        <w:t xml:space="preserve"> הק' ב</w:t>
      </w:r>
      <w:r w:rsidR="00301261">
        <w:rPr>
          <w:rFonts w:ascii="FrankRuehl" w:hAnsi="FrankRuehl" w:cs="FrankRuehl" w:hint="cs"/>
          <w:b/>
          <w:bCs/>
          <w:rtl/>
          <w:lang w:bidi="he-IL"/>
        </w:rPr>
        <w:t>חי' הגרי"ז על הרמב"ם</w:t>
      </w:r>
      <w:r w:rsidR="00301261">
        <w:rPr>
          <w:rFonts w:ascii="FrankRuehl" w:hAnsi="FrankRuehl" w:cs="FrankRuehl" w:hint="cs"/>
          <w:rtl/>
          <w:lang w:bidi="he-IL"/>
        </w:rPr>
        <w:t xml:space="preserve"> (עמ' 96, ד"ה ונראה), מאי עדיפותא דמתן ז' ממתן ד', וכי שם המספר גורם דליעכב, ומאי זה דקאמר שמעכבות בכל מקום בפרה ובנגעים, וכי עיכובא דידהו תלי בזה ששם המספר שלהם הוא ז'. וגם בהמשך הסוגיא, דהגמ' הק', מ"ש מתן ז' דכתיבן וכפילן, מתן ד' נמי כתיבן וכפילן. והק' </w:t>
      </w:r>
      <w:r w:rsidR="00301261">
        <w:rPr>
          <w:rFonts w:ascii="FrankRuehl" w:hAnsi="FrankRuehl" w:cs="FrankRuehl" w:hint="cs"/>
          <w:b/>
          <w:bCs/>
          <w:rtl/>
          <w:lang w:bidi="he-IL"/>
        </w:rPr>
        <w:t>תוס'</w:t>
      </w:r>
      <w:r w:rsidR="00301261">
        <w:rPr>
          <w:rFonts w:ascii="FrankRuehl" w:hAnsi="FrankRuehl" w:cs="FrankRuehl" w:hint="cs"/>
          <w:rtl/>
          <w:lang w:bidi="he-IL"/>
        </w:rPr>
        <w:t>, כיון דבכתיבן וכפילן תליא מילתא, אמאי תלי רבי טעמא דברייתא במה שמעכבות בכל מקום. ותי' דלא תימא נילף מתן ד' ממתן ז'. והק' הגרי"ז, דנראה מדברי תוס' דזהו פירכא, דאין יכולין ללמוד ממתן ז' למתן ד' משום דמעכבות בכל מקום, מה לי מספר ז' או מספר אחר, איך הוי שם המספר חלק של סברת החומרא. והוכיח מכאן דשאני מתן ז' ממתן ד' ביסוד דינן ועצמותן, דבמתן ד' ליכא דין בגוף המתנות עצמן שיהיו ד' דוקא, ואין המספר דין בהמתנות, שאחת תהא צריכה לחבירתה</w:t>
      </w:r>
      <w:r w:rsidR="007510EB">
        <w:rPr>
          <w:rFonts w:ascii="FrankRuehl" w:hAnsi="FrankRuehl" w:cs="FrankRuehl" w:hint="cs"/>
          <w:rtl/>
          <w:lang w:bidi="he-IL"/>
        </w:rPr>
        <w:t>, רק כל אחת לחודה קיימא. משא"כ במתן ז' המספר שבע הוא דין בגוף המתנות עצמן, ומעכבות זו את זו. וזהו דין בכל מתן ז' בתורה, דהמספר ז' הוא חלק מחפצא שלהן, וכל פחות מז' הרי הוא כחצי קומץ. וא"כ, אין כוונת הגמ' שיש חילוק בין המספר ד' להמספר ז', אלא דהחילוק הוא ביסוד, דמתן ד' משונין בדינייהו, דבמתן ז' המספר הוא תנאי ודין בעצם ההזאות. ועפ"ז כ' לפרש ה</w:t>
      </w:r>
      <w:r w:rsidR="007510EB">
        <w:rPr>
          <w:rFonts w:ascii="FrankRuehl" w:hAnsi="FrankRuehl" w:cs="FrankRuehl" w:hint="cs"/>
          <w:b/>
          <w:bCs/>
          <w:rtl/>
          <w:lang w:bidi="he-IL"/>
        </w:rPr>
        <w:t>רמב"ם</w:t>
      </w:r>
      <w:r w:rsidR="007510EB">
        <w:rPr>
          <w:rFonts w:ascii="FrankRuehl" w:hAnsi="FrankRuehl" w:cs="FrankRuehl" w:hint="cs"/>
          <w:rtl/>
          <w:lang w:bidi="he-IL"/>
        </w:rPr>
        <w:t xml:space="preserve"> שהבאנו לעיל, דמה שמה דבמתן ז' כולן מעכבין הוא משום שהקפיד התורה על מנינין, וביאר הגרי"ז דהיינו דעיקר דין חלוקין הן ממתנות החיצונות, דבהנהו אין המספר דין בעצם המתנות, משא"כ במתנות הפנימיות, כיון שמנינין מפורש בתורה, ע"כ המספר הוא חלק בעצם דין ההזאות </w:t>
      </w:r>
      <w:r w:rsidR="007510EB">
        <w:rPr>
          <w:rFonts w:ascii="FrankRuehl" w:hAnsi="FrankRuehl" w:cs="FrankRuehl" w:hint="cs"/>
          <w:sz w:val="16"/>
          <w:szCs w:val="16"/>
          <w:rtl/>
          <w:lang w:bidi="he-IL"/>
        </w:rPr>
        <w:t>[ואולי עפ"ז מיושב קו' ה</w:t>
      </w:r>
      <w:r w:rsidR="007510EB">
        <w:rPr>
          <w:rFonts w:ascii="FrankRuehl" w:hAnsi="FrankRuehl" w:cs="FrankRuehl" w:hint="cs"/>
          <w:b/>
          <w:bCs/>
          <w:sz w:val="16"/>
          <w:szCs w:val="16"/>
          <w:rtl/>
          <w:lang w:bidi="he-IL"/>
        </w:rPr>
        <w:t>ח"נ</w:t>
      </w:r>
      <w:r w:rsidR="007510EB">
        <w:rPr>
          <w:rFonts w:ascii="FrankRuehl" w:hAnsi="FrankRuehl" w:cs="FrankRuehl" w:hint="cs"/>
          <w:sz w:val="16"/>
          <w:szCs w:val="16"/>
          <w:rtl/>
          <w:lang w:bidi="he-IL"/>
        </w:rPr>
        <w:t xml:space="preserve"> שהבאנו לעיל, דהק' דהגמ' כ' דהמקור דמעכב הוא משום דכתי' ועשה כאשר עשה. ועפ"ז י"ל דאין כוונת הרמב"ם לפרש המקור, אלא לפרש החילוק בין מתן ז' דמעכב, דמה שהתורה הקפיד על מתן ז' דוקא הוא משום טעם הנ"ל, ויש לעי' בזה].</w:t>
      </w:r>
    </w:p>
    <w:p w:rsidR="008E362F" w:rsidRPr="008E362F" w:rsidRDefault="008E362F" w:rsidP="00503BE4">
      <w:pPr>
        <w:pStyle w:val="ListParagraph"/>
        <w:numPr>
          <w:ilvl w:val="0"/>
          <w:numId w:val="8"/>
        </w:numPr>
        <w:bidi/>
        <w:ind w:right="-180"/>
        <w:jc w:val="both"/>
        <w:rPr>
          <w:rFonts w:ascii="FrankRuehl" w:hAnsi="FrankRuehl" w:cs="FrankRuehl"/>
          <w:lang w:bidi="he-IL"/>
        </w:rPr>
      </w:pPr>
      <w:r>
        <w:rPr>
          <w:rFonts w:ascii="FrankRuehl" w:hAnsi="FrankRuehl" w:cs="FrankRuehl" w:hint="cs"/>
          <w:b/>
          <w:bCs/>
          <w:rtl/>
          <w:lang w:bidi="he-IL"/>
        </w:rPr>
        <w:t xml:space="preserve">וכפר אע"פ שלא סמך, ונסלח אע"פ שלא נתן שירים- </w:t>
      </w:r>
      <w:r>
        <w:rPr>
          <w:rFonts w:ascii="FrankRuehl" w:hAnsi="FrankRuehl" w:cs="FrankRuehl" w:hint="cs"/>
          <w:rtl/>
          <w:lang w:bidi="he-IL"/>
        </w:rPr>
        <w:t>הק' ה</w:t>
      </w:r>
      <w:r>
        <w:rPr>
          <w:rFonts w:ascii="FrankRuehl" w:hAnsi="FrankRuehl" w:cs="FrankRuehl" w:hint="cs"/>
          <w:b/>
          <w:bCs/>
          <w:rtl/>
          <w:lang w:bidi="he-IL"/>
        </w:rPr>
        <w:t>שפת אמת</w:t>
      </w:r>
      <w:r>
        <w:rPr>
          <w:rFonts w:ascii="FrankRuehl" w:hAnsi="FrankRuehl" w:cs="FrankRuehl" w:hint="cs"/>
          <w:rtl/>
          <w:lang w:bidi="he-IL"/>
        </w:rPr>
        <w:t xml:space="preserve">, הא לעיל (לח.) אי' דאין שייך לדרוש שתיהן, וכפר וגם ונסלח, דחדא לגופי' איצטריך, רק משום </w:t>
      </w:r>
      <w:r w:rsidR="00561F37">
        <w:rPr>
          <w:rFonts w:ascii="FrankRuehl" w:hAnsi="FrankRuehl" w:cs="FrankRuehl" w:hint="cs"/>
          <w:rtl/>
          <w:lang w:bidi="he-IL"/>
        </w:rPr>
        <w:t>דכפרה וסליחה א' הם, לכך א' מהם מיותר ויכול לדרוש אותו, והכא דריש תרוייהו. ותי' ע"פ מה דדרשי' לקמן (מא.) חטאתם אלו שעירי ע"ז, שגגתם זה פר העלם דבר, וכיון דשגגתם זה פר העם, א"כ הך ונסלח להם כי שגגה הוא, קאי גם אפר העלם, ולכן ממילא מיותר כפרה וסליחה דפר העלם, וממילא יכולין לדרוש שתיהן. וע"ע ב</w:t>
      </w:r>
      <w:r w:rsidR="00561F37">
        <w:rPr>
          <w:rFonts w:ascii="FrankRuehl" w:hAnsi="FrankRuehl" w:cs="FrankRuehl" w:hint="cs"/>
          <w:b/>
          <w:bCs/>
          <w:rtl/>
          <w:lang w:bidi="he-IL"/>
        </w:rPr>
        <w:t>מרומי שדה</w:t>
      </w:r>
      <w:r w:rsidR="00561F37">
        <w:rPr>
          <w:rFonts w:ascii="FrankRuehl" w:hAnsi="FrankRuehl" w:cs="FrankRuehl" w:hint="cs"/>
          <w:rtl/>
          <w:lang w:bidi="he-IL"/>
        </w:rPr>
        <w:t xml:space="preserve"> מש"כ בזה.</w:t>
      </w:r>
    </w:p>
    <w:p w:rsidR="00503BE4" w:rsidRPr="00C22B58" w:rsidRDefault="00503BE4" w:rsidP="00C22B58">
      <w:pPr>
        <w:pStyle w:val="ListParagraph"/>
        <w:numPr>
          <w:ilvl w:val="0"/>
          <w:numId w:val="8"/>
        </w:numPr>
        <w:bidi/>
        <w:ind w:right="-180"/>
        <w:jc w:val="both"/>
        <w:rPr>
          <w:rFonts w:ascii="FrankRuehl" w:hAnsi="FrankRuehl" w:cs="FrankRuehl"/>
          <w:rtl/>
          <w:lang w:bidi="he-IL"/>
        </w:rPr>
      </w:pPr>
      <w:r>
        <w:rPr>
          <w:rFonts w:ascii="FrankRuehl" w:hAnsi="FrankRuehl" w:cs="FrankRuehl" w:hint="cs"/>
          <w:b/>
          <w:bCs/>
          <w:rtl/>
          <w:lang w:bidi="he-IL"/>
        </w:rPr>
        <w:t>ומה ראית לפסול בהזאות ולהכשיר בסמיכה ושירים</w:t>
      </w:r>
      <w:r w:rsidR="00355E2C">
        <w:rPr>
          <w:rFonts w:ascii="FrankRuehl" w:hAnsi="FrankRuehl" w:cs="FrankRuehl" w:hint="cs"/>
          <w:b/>
          <w:bCs/>
          <w:rtl/>
          <w:lang w:bidi="he-IL"/>
        </w:rPr>
        <w:t>-</w:t>
      </w:r>
      <w:r>
        <w:rPr>
          <w:rFonts w:ascii="FrankRuehl" w:hAnsi="FrankRuehl" w:cs="FrankRuehl" w:hint="cs"/>
          <w:rtl/>
          <w:lang w:bidi="he-IL"/>
        </w:rPr>
        <w:t xml:space="preserve"> כ' ה</w:t>
      </w:r>
      <w:r>
        <w:rPr>
          <w:rFonts w:ascii="FrankRuehl" w:hAnsi="FrankRuehl" w:cs="FrankRuehl" w:hint="cs"/>
          <w:b/>
          <w:bCs/>
          <w:rtl/>
          <w:lang w:bidi="he-IL"/>
        </w:rPr>
        <w:t>קרן אורה</w:t>
      </w:r>
      <w:r>
        <w:rPr>
          <w:rFonts w:ascii="FrankRuehl" w:hAnsi="FrankRuehl" w:cs="FrankRuehl" w:hint="cs"/>
          <w:rtl/>
          <w:lang w:bidi="he-IL"/>
        </w:rPr>
        <w:t xml:space="preserve"> דמשמע מכאן דבעצם הי' שייך לומר איפכא, דהזאות לא מעכבי ושירים מעכבי. וע"ש שדן אם זהו ראי' לשי' </w:t>
      </w:r>
      <w:r>
        <w:rPr>
          <w:rFonts w:ascii="FrankRuehl" w:hAnsi="FrankRuehl" w:cs="FrankRuehl" w:hint="cs"/>
          <w:b/>
          <w:bCs/>
          <w:rtl/>
          <w:lang w:bidi="he-IL"/>
        </w:rPr>
        <w:t>ר"ת</w:t>
      </w:r>
      <w:r>
        <w:rPr>
          <w:rFonts w:ascii="FrankRuehl" w:hAnsi="FrankRuehl" w:cs="FrankRuehl" w:hint="cs"/>
          <w:rtl/>
          <w:lang w:bidi="he-IL"/>
        </w:rPr>
        <w:t xml:space="preserve"> דס"ל דבאמת איכא תנא דס"ל דשירים החיצונים ג"כ מעכבי, אע"ג דהזאות לכ"ע לא מעכבי, וע"ש מש"כ לפרש באו"א.</w:t>
      </w:r>
      <w:bookmarkStart w:id="0" w:name="_GoBack"/>
      <w:bookmarkEnd w:id="0"/>
    </w:p>
    <w:sectPr w:rsidR="00503BE4" w:rsidRPr="00C22B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A2E"/>
    <w:multiLevelType w:val="hybridMultilevel"/>
    <w:tmpl w:val="5F6878C6"/>
    <w:lvl w:ilvl="0" w:tplc="6038B918">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7DA31D8"/>
    <w:multiLevelType w:val="hybridMultilevel"/>
    <w:tmpl w:val="70201842"/>
    <w:lvl w:ilvl="0" w:tplc="798ED83E">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CE11F1C"/>
    <w:multiLevelType w:val="hybridMultilevel"/>
    <w:tmpl w:val="7338A6DA"/>
    <w:lvl w:ilvl="0" w:tplc="A82C3E04">
      <w:start w:val="1"/>
      <w:numFmt w:val="hebrew1"/>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6757D24"/>
    <w:multiLevelType w:val="hybridMultilevel"/>
    <w:tmpl w:val="12A21E62"/>
    <w:lvl w:ilvl="0" w:tplc="DB282EC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94A86"/>
    <w:multiLevelType w:val="hybridMultilevel"/>
    <w:tmpl w:val="456A6A1A"/>
    <w:lvl w:ilvl="0" w:tplc="CA4EB9A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3242C40"/>
    <w:multiLevelType w:val="hybridMultilevel"/>
    <w:tmpl w:val="3156FFFC"/>
    <w:lvl w:ilvl="0" w:tplc="5BCC1AD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87AF2"/>
    <w:multiLevelType w:val="hybridMultilevel"/>
    <w:tmpl w:val="E4BA6AB2"/>
    <w:lvl w:ilvl="0" w:tplc="0C92A148">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47D4240"/>
    <w:multiLevelType w:val="hybridMultilevel"/>
    <w:tmpl w:val="FE602D50"/>
    <w:lvl w:ilvl="0" w:tplc="E03AADA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64"/>
    <w:rsid w:val="00004CFC"/>
    <w:rsid w:val="00007C46"/>
    <w:rsid w:val="0001248A"/>
    <w:rsid w:val="00014C48"/>
    <w:rsid w:val="00052A0C"/>
    <w:rsid w:val="000830DA"/>
    <w:rsid w:val="000C33FA"/>
    <w:rsid w:val="000F05F4"/>
    <w:rsid w:val="000F5200"/>
    <w:rsid w:val="000F5B42"/>
    <w:rsid w:val="001266A5"/>
    <w:rsid w:val="001324F8"/>
    <w:rsid w:val="001410AE"/>
    <w:rsid w:val="00161CF9"/>
    <w:rsid w:val="001842E9"/>
    <w:rsid w:val="00193A0E"/>
    <w:rsid w:val="001A1441"/>
    <w:rsid w:val="001D4723"/>
    <w:rsid w:val="00266E96"/>
    <w:rsid w:val="002721B0"/>
    <w:rsid w:val="00280476"/>
    <w:rsid w:val="00287EDC"/>
    <w:rsid w:val="002D6E55"/>
    <w:rsid w:val="002E110C"/>
    <w:rsid w:val="002E168F"/>
    <w:rsid w:val="002F4EA0"/>
    <w:rsid w:val="00301261"/>
    <w:rsid w:val="00355E2C"/>
    <w:rsid w:val="00387581"/>
    <w:rsid w:val="00397472"/>
    <w:rsid w:val="003A7B0D"/>
    <w:rsid w:val="003B6F3F"/>
    <w:rsid w:val="003D6C3A"/>
    <w:rsid w:val="003F43BB"/>
    <w:rsid w:val="00400747"/>
    <w:rsid w:val="00426309"/>
    <w:rsid w:val="004833D0"/>
    <w:rsid w:val="004B4557"/>
    <w:rsid w:val="004B790B"/>
    <w:rsid w:val="004E5EBF"/>
    <w:rsid w:val="00503BE4"/>
    <w:rsid w:val="005609F3"/>
    <w:rsid w:val="00561F37"/>
    <w:rsid w:val="005A184C"/>
    <w:rsid w:val="005C0D1C"/>
    <w:rsid w:val="005E3741"/>
    <w:rsid w:val="0060602F"/>
    <w:rsid w:val="00637064"/>
    <w:rsid w:val="00640EBE"/>
    <w:rsid w:val="00672BE0"/>
    <w:rsid w:val="00683DA6"/>
    <w:rsid w:val="006B3B3F"/>
    <w:rsid w:val="006F2EBB"/>
    <w:rsid w:val="00717AC9"/>
    <w:rsid w:val="00734AC1"/>
    <w:rsid w:val="007449A5"/>
    <w:rsid w:val="007510EB"/>
    <w:rsid w:val="00765073"/>
    <w:rsid w:val="00791B20"/>
    <w:rsid w:val="007B0505"/>
    <w:rsid w:val="007E1701"/>
    <w:rsid w:val="007F1EE1"/>
    <w:rsid w:val="00812394"/>
    <w:rsid w:val="00836793"/>
    <w:rsid w:val="0084554D"/>
    <w:rsid w:val="00857DDC"/>
    <w:rsid w:val="008773ED"/>
    <w:rsid w:val="008E362F"/>
    <w:rsid w:val="009000D0"/>
    <w:rsid w:val="00944C83"/>
    <w:rsid w:val="00972B04"/>
    <w:rsid w:val="00980A78"/>
    <w:rsid w:val="00984919"/>
    <w:rsid w:val="009860A4"/>
    <w:rsid w:val="00990F5F"/>
    <w:rsid w:val="009B6F27"/>
    <w:rsid w:val="00A24D57"/>
    <w:rsid w:val="00A379FA"/>
    <w:rsid w:val="00A437C8"/>
    <w:rsid w:val="00A450EC"/>
    <w:rsid w:val="00A74C08"/>
    <w:rsid w:val="00A9072D"/>
    <w:rsid w:val="00BF04B3"/>
    <w:rsid w:val="00BF0D26"/>
    <w:rsid w:val="00C158A3"/>
    <w:rsid w:val="00C21268"/>
    <w:rsid w:val="00C22B58"/>
    <w:rsid w:val="00C27D18"/>
    <w:rsid w:val="00C31AD2"/>
    <w:rsid w:val="00C3558B"/>
    <w:rsid w:val="00C47E43"/>
    <w:rsid w:val="00C6210C"/>
    <w:rsid w:val="00C75FD2"/>
    <w:rsid w:val="00C97800"/>
    <w:rsid w:val="00CE59B9"/>
    <w:rsid w:val="00CF0560"/>
    <w:rsid w:val="00CF0680"/>
    <w:rsid w:val="00CF1133"/>
    <w:rsid w:val="00D200CC"/>
    <w:rsid w:val="00D761A8"/>
    <w:rsid w:val="00D95D74"/>
    <w:rsid w:val="00DC50D9"/>
    <w:rsid w:val="00DD1BD9"/>
    <w:rsid w:val="00E15513"/>
    <w:rsid w:val="00E33EF6"/>
    <w:rsid w:val="00E53FFB"/>
    <w:rsid w:val="00F1254F"/>
    <w:rsid w:val="00F361A0"/>
    <w:rsid w:val="00F80690"/>
    <w:rsid w:val="00F826A6"/>
    <w:rsid w:val="00FA0BB8"/>
    <w:rsid w:val="00FC5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3CD1B"/>
  <w15:chartTrackingRefBased/>
  <w15:docId w15:val="{EB3C471E-2DD1-4FC0-B0F3-9C10E73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7962">
      <w:bodyDiv w:val="1"/>
      <w:marLeft w:val="0"/>
      <w:marRight w:val="0"/>
      <w:marTop w:val="0"/>
      <w:marBottom w:val="0"/>
      <w:divBdr>
        <w:top w:val="none" w:sz="0" w:space="0" w:color="auto"/>
        <w:left w:val="none" w:sz="0" w:space="0" w:color="auto"/>
        <w:bottom w:val="none" w:sz="0" w:space="0" w:color="auto"/>
        <w:right w:val="none" w:sz="0" w:space="0" w:color="auto"/>
      </w:divBdr>
      <w:divsChild>
        <w:div w:id="536967599">
          <w:marLeft w:val="0"/>
          <w:marRight w:val="0"/>
          <w:marTop w:val="0"/>
          <w:marBottom w:val="0"/>
          <w:divBdr>
            <w:top w:val="none" w:sz="0" w:space="0" w:color="auto"/>
            <w:left w:val="none" w:sz="0" w:space="0" w:color="auto"/>
            <w:bottom w:val="none" w:sz="0" w:space="0" w:color="auto"/>
            <w:right w:val="none" w:sz="0" w:space="0" w:color="auto"/>
          </w:divBdr>
        </w:div>
        <w:div w:id="1628656986">
          <w:marLeft w:val="0"/>
          <w:marRight w:val="0"/>
          <w:marTop w:val="0"/>
          <w:marBottom w:val="0"/>
          <w:divBdr>
            <w:top w:val="none" w:sz="0" w:space="0" w:color="auto"/>
            <w:left w:val="none" w:sz="0" w:space="0" w:color="auto"/>
            <w:bottom w:val="none" w:sz="0" w:space="0" w:color="auto"/>
            <w:right w:val="none" w:sz="0" w:space="0" w:color="auto"/>
          </w:divBdr>
        </w:div>
        <w:div w:id="1685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מראי מקומות-</vt:lpstr>
    </vt:vector>
  </TitlesOfParts>
  <Company>Hewlett-Packard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מראי מקומות-</dc:title>
  <dc:subject/>
  <dc:creator>AKeilson</dc:creator>
  <cp:keywords/>
  <dc:description/>
  <cp:lastModifiedBy>Ari Keilson</cp:lastModifiedBy>
  <cp:revision>7</cp:revision>
  <dcterms:created xsi:type="dcterms:W3CDTF">2018-05-22T02:21:00Z</dcterms:created>
  <dcterms:modified xsi:type="dcterms:W3CDTF">2018-05-22T04:10:00Z</dcterms:modified>
</cp:coreProperties>
</file>