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355D3" w14:textId="77777777" w:rsidR="00D761A8" w:rsidRPr="001842E9" w:rsidRDefault="00161CF9" w:rsidP="001842E9">
      <w:pPr>
        <w:bidi/>
        <w:ind w:left="180" w:right="-180"/>
        <w:jc w:val="center"/>
        <w:rPr>
          <w:rFonts w:ascii="FrankRuehl" w:hAnsi="FrankRuehl" w:cs="FrankRuehl" w:hint="cs"/>
          <w:b/>
          <w:bCs/>
          <w:sz w:val="32"/>
          <w:szCs w:val="32"/>
          <w:u w:val="single"/>
          <w:rtl/>
          <w:lang w:bidi="he-IL"/>
        </w:rPr>
      </w:pPr>
      <w:r>
        <w:rPr>
          <w:rFonts w:ascii="FrankRuehl" w:hAnsi="FrankRuehl" w:cs="FrankRuehl" w:hint="cs"/>
          <w:b/>
          <w:bCs/>
          <w:sz w:val="32"/>
          <w:szCs w:val="32"/>
          <w:u w:val="single"/>
          <w:rtl/>
          <w:lang w:bidi="he-IL"/>
        </w:rPr>
        <w:t xml:space="preserve">מראי מקומות- </w:t>
      </w:r>
      <w:r w:rsidR="00E53FFB">
        <w:rPr>
          <w:rFonts w:ascii="FrankRuehl" w:hAnsi="FrankRuehl" w:cs="FrankRuehl" w:hint="cs"/>
          <w:b/>
          <w:bCs/>
          <w:sz w:val="32"/>
          <w:szCs w:val="32"/>
          <w:u w:val="single"/>
          <w:rtl/>
          <w:lang w:bidi="he-IL"/>
        </w:rPr>
        <w:t>זבחים</w:t>
      </w:r>
      <w:r w:rsidR="00664993">
        <w:rPr>
          <w:rFonts w:ascii="FrankRuehl" w:hAnsi="FrankRuehl" w:cs="FrankRuehl" w:hint="cs"/>
          <w:b/>
          <w:bCs/>
          <w:sz w:val="32"/>
          <w:szCs w:val="32"/>
          <w:u w:val="single"/>
          <w:rtl/>
          <w:lang w:bidi="he-IL"/>
        </w:rPr>
        <w:t xml:space="preserve"> ל"ה</w:t>
      </w:r>
    </w:p>
    <w:p w14:paraId="25D060FC" w14:textId="77777777" w:rsidR="00857DDC" w:rsidRDefault="004B06CF" w:rsidP="00857DDC">
      <w:pPr>
        <w:pStyle w:val="ListParagraph"/>
        <w:numPr>
          <w:ilvl w:val="0"/>
          <w:numId w:val="8"/>
        </w:numPr>
        <w:bidi/>
        <w:ind w:right="-180"/>
        <w:jc w:val="both"/>
        <w:rPr>
          <w:rFonts w:ascii="FrankRuehl" w:hAnsi="FrankRuehl" w:cs="FrankRuehl"/>
          <w:lang w:bidi="he-IL"/>
        </w:rPr>
      </w:pPr>
      <w:r>
        <w:rPr>
          <w:rFonts w:ascii="FrankRuehl" w:hAnsi="FrankRuehl" w:cs="FrankRuehl" w:hint="cs"/>
          <w:b/>
          <w:bCs/>
          <w:rtl/>
          <w:lang w:bidi="he-IL"/>
        </w:rPr>
        <w:t>אלא שמא לא נתקבל בכלי</w:t>
      </w:r>
      <w:r w:rsidR="00857DDC">
        <w:rPr>
          <w:rFonts w:ascii="FrankRuehl" w:hAnsi="FrankRuehl" w:cs="FrankRuehl" w:hint="cs"/>
          <w:b/>
          <w:bCs/>
          <w:rtl/>
          <w:lang w:bidi="he-IL"/>
        </w:rPr>
        <w:t>-</w:t>
      </w:r>
      <w:r>
        <w:rPr>
          <w:rFonts w:ascii="FrankRuehl" w:hAnsi="FrankRuehl" w:cs="FrankRuehl" w:hint="cs"/>
          <w:rtl/>
          <w:lang w:bidi="he-IL"/>
        </w:rPr>
        <w:t xml:space="preserve"> פ</w:t>
      </w:r>
      <w:r>
        <w:rPr>
          <w:rFonts w:ascii="FrankRuehl" w:hAnsi="FrankRuehl" w:cs="FrankRuehl" w:hint="cs"/>
          <w:b/>
          <w:bCs/>
          <w:rtl/>
          <w:lang w:bidi="he-IL"/>
        </w:rPr>
        <w:t>רש"י</w:t>
      </w:r>
      <w:r>
        <w:rPr>
          <w:rFonts w:ascii="FrankRuehl" w:hAnsi="FrankRuehl" w:cs="FrankRuehl" w:hint="cs"/>
          <w:rtl/>
          <w:lang w:bidi="he-IL"/>
        </w:rPr>
        <w:t xml:space="preserve"> ונמצא זורק דם פסול. אולם ע' ברש"י בפסחים (סה</w:t>
      </w:r>
      <w:r w:rsidR="009D3C00">
        <w:rPr>
          <w:rFonts w:ascii="FrankRuehl" w:hAnsi="FrankRuehl" w:cs="FrankRuehl" w:hint="cs"/>
          <w:rtl/>
          <w:lang w:bidi="he-IL"/>
        </w:rPr>
        <w:t xml:space="preserve">.) שפי' דשמא לא נתקבל בכלי, וממילא לא מהניא לי' הזריקה עכשיו. והק' </w:t>
      </w:r>
      <w:r w:rsidR="009D3C00">
        <w:rPr>
          <w:rFonts w:ascii="FrankRuehl" w:hAnsi="FrankRuehl" w:cs="FrankRuehl" w:hint="cs"/>
          <w:b/>
          <w:bCs/>
          <w:rtl/>
          <w:lang w:bidi="he-IL"/>
        </w:rPr>
        <w:t>תוס'</w:t>
      </w:r>
      <w:r w:rsidR="009D3C00">
        <w:rPr>
          <w:rFonts w:ascii="FrankRuehl" w:hAnsi="FrankRuehl" w:cs="FrankRuehl" w:hint="cs"/>
          <w:rtl/>
          <w:lang w:bidi="he-IL"/>
        </w:rPr>
        <w:t xml:space="preserve"> שם, ומה בכך, הרי עכ"פ לזרוק לצורך הקרבנות שקבלו בכלי ושוב נשפכו. ולכן פי' תוס' כמו שפרש"י כאן, דהיינו דיש חשש שמא יזרקו דם פסול, וע"ז משני דכהנים זריזין הן, ולכן  אין צריכין לחוש לזה.</w:t>
      </w:r>
      <w:r w:rsidR="00A556E6">
        <w:rPr>
          <w:rFonts w:ascii="FrankRuehl" w:hAnsi="FrankRuehl" w:cs="FrankRuehl" w:hint="cs"/>
          <w:rtl/>
          <w:lang w:bidi="he-IL"/>
        </w:rPr>
        <w:t xml:space="preserve"> </w:t>
      </w:r>
    </w:p>
    <w:p w14:paraId="46257B83" w14:textId="77777777" w:rsidR="00A556E6" w:rsidRDefault="00A556E6" w:rsidP="00A556E6">
      <w:pPr>
        <w:pStyle w:val="ListParagraph"/>
        <w:numPr>
          <w:ilvl w:val="0"/>
          <w:numId w:val="8"/>
        </w:numPr>
        <w:bidi/>
        <w:ind w:right="-180"/>
        <w:jc w:val="both"/>
        <w:rPr>
          <w:rFonts w:ascii="FrankRuehl" w:hAnsi="FrankRuehl" w:cs="FrankRuehl"/>
          <w:lang w:bidi="he-IL"/>
        </w:rPr>
      </w:pPr>
      <w:r>
        <w:rPr>
          <w:rFonts w:ascii="FrankRuehl" w:hAnsi="FrankRuehl" w:cs="FrankRuehl" w:hint="cs"/>
          <w:b/>
          <w:bCs/>
          <w:rtl/>
          <w:lang w:bidi="he-IL"/>
        </w:rPr>
        <w:t>והלא דם התמצית מעורב בו-</w:t>
      </w:r>
      <w:r>
        <w:rPr>
          <w:rFonts w:ascii="FrankRuehl" w:hAnsi="FrankRuehl" w:cs="FrankRuehl" w:hint="cs"/>
          <w:rtl/>
          <w:lang w:bidi="he-IL"/>
        </w:rPr>
        <w:t xml:space="preserve"> פי' </w:t>
      </w:r>
      <w:r>
        <w:rPr>
          <w:rFonts w:ascii="FrankRuehl" w:hAnsi="FrankRuehl" w:cs="FrankRuehl" w:hint="cs"/>
          <w:b/>
          <w:bCs/>
          <w:rtl/>
          <w:lang w:bidi="he-IL"/>
        </w:rPr>
        <w:t>תוס' בפסחים</w:t>
      </w:r>
      <w:r>
        <w:rPr>
          <w:rFonts w:ascii="FrankRuehl" w:hAnsi="FrankRuehl" w:cs="FrankRuehl" w:hint="cs"/>
          <w:rtl/>
          <w:lang w:bidi="he-IL"/>
        </w:rPr>
        <w:t xml:space="preserve"> (סה., וכן מבואר ב</w:t>
      </w:r>
      <w:r>
        <w:rPr>
          <w:rFonts w:ascii="FrankRuehl" w:hAnsi="FrankRuehl" w:cs="FrankRuehl" w:hint="cs"/>
          <w:b/>
          <w:bCs/>
          <w:rtl/>
          <w:lang w:bidi="he-IL"/>
        </w:rPr>
        <w:t>רש"י</w:t>
      </w:r>
      <w:r>
        <w:rPr>
          <w:rFonts w:ascii="FrankRuehl" w:hAnsi="FrankRuehl" w:cs="FrankRuehl" w:hint="cs"/>
          <w:rtl/>
          <w:lang w:bidi="he-IL"/>
        </w:rPr>
        <w:t xml:space="preserve"> שם בקיצור), דאע"פ דאין איסור לזרוק דם התמצית, שהרי אינם ראויים לכיסוי, ולכן אין אוסרים, מ"מ יש להק' דדם התמצית יבטל דם הצואר, וא"כ נמצא דאין שום תועלת להזריקה, לפי שדם הראוי לזריקה נתבטל ברוב. וע"ז תי' הגמ' דדם התמצית דם הוא, והגמ' סובר בהה"א דדם זה גם ראוי לזריקה</w:t>
      </w:r>
      <w:r w:rsidR="00D445DE">
        <w:rPr>
          <w:rFonts w:ascii="FrankRuehl" w:hAnsi="FrankRuehl" w:cs="FrankRuehl" w:hint="cs"/>
          <w:rtl/>
          <w:lang w:bidi="he-IL"/>
        </w:rPr>
        <w:t xml:space="preserve"> (אולם ע' ב</w:t>
      </w:r>
      <w:r w:rsidR="00D445DE">
        <w:rPr>
          <w:rFonts w:ascii="FrankRuehl" w:hAnsi="FrankRuehl" w:cs="FrankRuehl" w:hint="cs"/>
          <w:b/>
          <w:bCs/>
          <w:rtl/>
          <w:lang w:bidi="he-IL"/>
        </w:rPr>
        <w:t>שפת אמת</w:t>
      </w:r>
      <w:r w:rsidR="00D445DE">
        <w:rPr>
          <w:rFonts w:ascii="FrankRuehl" w:hAnsi="FrankRuehl" w:cs="FrankRuehl" w:hint="cs"/>
          <w:rtl/>
          <w:lang w:bidi="he-IL"/>
        </w:rPr>
        <w:t xml:space="preserve"> דהק' דהא ודאי נתבטל דם הנפש בדם השירים של כל הקרבנות, וזה ודאי אינו מכפר, וא"כ מוכרחין לומר דדם אינו מבטל דם, והניח בקו')</w:t>
      </w:r>
      <w:r>
        <w:rPr>
          <w:rFonts w:ascii="FrankRuehl" w:hAnsi="FrankRuehl" w:cs="FrankRuehl" w:hint="cs"/>
          <w:rtl/>
          <w:lang w:bidi="he-IL"/>
        </w:rPr>
        <w:t>, וע"ז הק' הגמ' דאינו ראוי לזריקה, וע"ז תי' דאין דם מבטל דם, ולכן אף שיש שם דם התמצית, מ"מ אינו יכול לבטל דם הנפש, וא"כ שפיר יש תועלת לזריקתו.</w:t>
      </w:r>
    </w:p>
    <w:p w14:paraId="270033DF" w14:textId="77777777" w:rsidR="000777BF" w:rsidRDefault="000777BF" w:rsidP="000777BF">
      <w:pPr>
        <w:pStyle w:val="ListParagraph"/>
        <w:numPr>
          <w:ilvl w:val="0"/>
          <w:numId w:val="8"/>
        </w:numPr>
        <w:bidi/>
        <w:ind w:right="-180"/>
        <w:jc w:val="both"/>
        <w:rPr>
          <w:rFonts w:ascii="FrankRuehl" w:hAnsi="FrankRuehl" w:cs="FrankRuehl"/>
          <w:lang w:bidi="he-IL"/>
        </w:rPr>
      </w:pPr>
      <w:r>
        <w:rPr>
          <w:rFonts w:ascii="FrankRuehl" w:hAnsi="FrankRuehl" w:cs="FrankRuehl" w:hint="cs"/>
          <w:b/>
          <w:bCs/>
          <w:rtl/>
          <w:lang w:bidi="he-IL"/>
        </w:rPr>
        <w:t>שבח הוא לבני אהרן וכו'-</w:t>
      </w:r>
      <w:r>
        <w:rPr>
          <w:rFonts w:ascii="FrankRuehl" w:hAnsi="FrankRuehl" w:cs="FrankRuehl" w:hint="cs"/>
          <w:rtl/>
          <w:lang w:bidi="he-IL"/>
        </w:rPr>
        <w:t xml:space="preserve"> הק' ה</w:t>
      </w:r>
      <w:r>
        <w:rPr>
          <w:rFonts w:ascii="FrankRuehl" w:hAnsi="FrankRuehl" w:cs="FrankRuehl" w:hint="cs"/>
          <w:b/>
          <w:bCs/>
          <w:rtl/>
          <w:lang w:bidi="he-IL"/>
        </w:rPr>
        <w:t>שפת אמת</w:t>
      </w:r>
      <w:r>
        <w:rPr>
          <w:rFonts w:ascii="FrankRuehl" w:hAnsi="FrankRuehl" w:cs="FrankRuehl" w:hint="cs"/>
          <w:rtl/>
          <w:lang w:bidi="he-IL"/>
        </w:rPr>
        <w:t>, למה נקט לבני אהרן, הול"ל שבח הוא לבני ישראל, שהרי כל העזרה נתמלא דם, וא"כ כל בני ישראל היו עד ארכובותיהן בדם. עוד העיר דכל טעם זה לפקוק העזרה משום זה תמוה, וגם העיר דה</w:t>
      </w:r>
      <w:r>
        <w:rPr>
          <w:rFonts w:ascii="FrankRuehl" w:hAnsi="FrankRuehl" w:cs="FrankRuehl" w:hint="cs"/>
          <w:b/>
          <w:bCs/>
          <w:rtl/>
          <w:lang w:bidi="he-IL"/>
        </w:rPr>
        <w:t>רמב"ם</w:t>
      </w:r>
      <w:r>
        <w:rPr>
          <w:rFonts w:ascii="FrankRuehl" w:hAnsi="FrankRuehl" w:cs="FrankRuehl" w:hint="cs"/>
          <w:rtl/>
          <w:lang w:bidi="he-IL"/>
        </w:rPr>
        <w:t xml:space="preserve"> לא הביא דין זה דפקקו העזרה בערב פסח, וצ"ע בכל זה.</w:t>
      </w:r>
    </w:p>
    <w:p w14:paraId="4DD2BF56" w14:textId="77777777" w:rsidR="00283302" w:rsidRDefault="00283302" w:rsidP="00283302">
      <w:pPr>
        <w:pStyle w:val="ListParagraph"/>
        <w:numPr>
          <w:ilvl w:val="0"/>
          <w:numId w:val="8"/>
        </w:numPr>
        <w:bidi/>
        <w:ind w:right="-180"/>
        <w:jc w:val="both"/>
        <w:rPr>
          <w:rFonts w:ascii="FrankRuehl" w:hAnsi="FrankRuehl" w:cs="FrankRuehl"/>
          <w:lang w:bidi="he-IL"/>
        </w:rPr>
      </w:pPr>
      <w:r>
        <w:rPr>
          <w:rFonts w:ascii="FrankRuehl" w:hAnsi="FrankRuehl" w:cs="FrankRuehl" w:hint="cs"/>
          <w:b/>
          <w:bCs/>
          <w:rtl/>
          <w:lang w:bidi="he-IL"/>
        </w:rPr>
        <w:t>לחין אין חוצצין-</w:t>
      </w:r>
      <w:r>
        <w:rPr>
          <w:rFonts w:ascii="FrankRuehl" w:hAnsi="FrankRuehl" w:cs="FrankRuehl" w:hint="cs"/>
          <w:rtl/>
          <w:lang w:bidi="he-IL"/>
        </w:rPr>
        <w:t xml:space="preserve"> ע' ב</w:t>
      </w:r>
      <w:r>
        <w:rPr>
          <w:rFonts w:ascii="FrankRuehl" w:hAnsi="FrankRuehl" w:cs="FrankRuehl" w:hint="cs"/>
          <w:b/>
          <w:bCs/>
          <w:rtl/>
          <w:lang w:bidi="he-IL"/>
        </w:rPr>
        <w:t>עמודי אור</w:t>
      </w:r>
      <w:r>
        <w:rPr>
          <w:rFonts w:ascii="FrankRuehl" w:hAnsi="FrankRuehl" w:cs="FrankRuehl" w:hint="cs"/>
          <w:rtl/>
          <w:lang w:bidi="he-IL"/>
        </w:rPr>
        <w:t xml:space="preserve"> (סי' ל"ז) שהביא מש"כ ה</w:t>
      </w:r>
      <w:r>
        <w:rPr>
          <w:rFonts w:ascii="FrankRuehl" w:hAnsi="FrankRuehl" w:cs="FrankRuehl" w:hint="cs"/>
          <w:b/>
          <w:bCs/>
          <w:rtl/>
          <w:lang w:bidi="he-IL"/>
        </w:rPr>
        <w:t>משנה למלך</w:t>
      </w:r>
      <w:r>
        <w:rPr>
          <w:rFonts w:ascii="FrankRuehl" w:hAnsi="FrankRuehl" w:cs="FrankRuehl" w:hint="cs"/>
          <w:rtl/>
          <w:lang w:bidi="he-IL"/>
        </w:rPr>
        <w:t xml:space="preserve"> בהל' עבודת יוה"כ דמה שהי' צריך הכה"ג להסתפג הוא משום דאל"כ הו"ל חציצת מים בינו ובין הבגדי כהונה. והק' ה</w:t>
      </w:r>
      <w:r w:rsidR="00304576">
        <w:rPr>
          <w:rFonts w:ascii="FrankRuehl" w:hAnsi="FrankRuehl" w:cs="FrankRuehl" w:hint="cs"/>
          <w:rtl/>
          <w:lang w:bidi="he-IL"/>
        </w:rPr>
        <w:t xml:space="preserve">עמודי אור מסוגיין, דאמרי' דאף דם אינו חוצץ משום דלח הוא (ואף דהוא סמיך טפי ממים), ואין לחלק בין בגדי כהונה ובין חציצה בין רגלי כהנים והרצפה, שהרי הגמ' לעיל (כד.) לומד דין חציצת הרצפה מדין חציצה בבגדי כהונה </w:t>
      </w:r>
      <w:r w:rsidR="00304576">
        <w:rPr>
          <w:rFonts w:ascii="FrankRuehl" w:hAnsi="FrankRuehl" w:cs="FrankRuehl" w:hint="cs"/>
          <w:sz w:val="16"/>
          <w:szCs w:val="16"/>
          <w:rtl/>
          <w:lang w:bidi="he-IL"/>
        </w:rPr>
        <w:t xml:space="preserve">[אולם זהו רק לפי שי' </w:t>
      </w:r>
      <w:r w:rsidR="00304576">
        <w:rPr>
          <w:rFonts w:ascii="FrankRuehl" w:hAnsi="FrankRuehl" w:cs="FrankRuehl" w:hint="cs"/>
          <w:b/>
          <w:bCs/>
          <w:sz w:val="16"/>
          <w:szCs w:val="16"/>
          <w:rtl/>
          <w:lang w:bidi="he-IL"/>
        </w:rPr>
        <w:t>תוס'</w:t>
      </w:r>
      <w:r w:rsidR="00304576">
        <w:rPr>
          <w:rFonts w:ascii="FrankRuehl" w:hAnsi="FrankRuehl" w:cs="FrankRuehl" w:hint="cs"/>
          <w:sz w:val="16"/>
          <w:szCs w:val="16"/>
          <w:rtl/>
          <w:lang w:bidi="he-IL"/>
        </w:rPr>
        <w:t xml:space="preserve"> שם, אבל ל</w:t>
      </w:r>
      <w:r w:rsidR="00304576">
        <w:rPr>
          <w:rFonts w:ascii="FrankRuehl" w:hAnsi="FrankRuehl" w:cs="FrankRuehl" w:hint="cs"/>
          <w:b/>
          <w:bCs/>
          <w:sz w:val="16"/>
          <w:szCs w:val="16"/>
          <w:rtl/>
          <w:lang w:bidi="he-IL"/>
        </w:rPr>
        <w:t>רש"י</w:t>
      </w:r>
      <w:r w:rsidR="00304576">
        <w:rPr>
          <w:rFonts w:ascii="FrankRuehl" w:hAnsi="FrankRuehl" w:cs="FrankRuehl" w:hint="cs"/>
          <w:sz w:val="16"/>
          <w:szCs w:val="16"/>
          <w:rtl/>
          <w:lang w:bidi="he-IL"/>
        </w:rPr>
        <w:t xml:space="preserve"> שם דהלימוד הוא מדין חציצה בין ידו לכלי שרת, אפשר דשפיר יש לחלק כן, וצ"ע].</w:t>
      </w:r>
    </w:p>
    <w:p w14:paraId="29033177" w14:textId="77777777" w:rsidR="004B06CF" w:rsidRDefault="00E93809" w:rsidP="004B06CF">
      <w:pPr>
        <w:pStyle w:val="ListParagraph"/>
        <w:numPr>
          <w:ilvl w:val="0"/>
          <w:numId w:val="8"/>
        </w:numPr>
        <w:bidi/>
        <w:ind w:right="-180"/>
        <w:jc w:val="both"/>
        <w:rPr>
          <w:rFonts w:ascii="FrankRuehl" w:hAnsi="FrankRuehl" w:cs="FrankRuehl"/>
          <w:lang w:bidi="he-IL"/>
        </w:rPr>
      </w:pPr>
      <w:r>
        <w:rPr>
          <w:rFonts w:ascii="FrankRuehl" w:hAnsi="FrankRuehl" w:cs="FrankRuehl" w:hint="cs"/>
          <w:b/>
          <w:bCs/>
          <w:rtl/>
          <w:lang w:bidi="he-IL"/>
        </w:rPr>
        <w:t>לאכול דבר שאין דרכו לאכול... כשר</w:t>
      </w:r>
      <w:r w:rsidR="004B06CF">
        <w:rPr>
          <w:rFonts w:ascii="FrankRuehl" w:hAnsi="FrankRuehl" w:cs="FrankRuehl" w:hint="cs"/>
          <w:b/>
          <w:bCs/>
          <w:rtl/>
          <w:lang w:bidi="he-IL"/>
        </w:rPr>
        <w:t>-</w:t>
      </w:r>
      <w:r>
        <w:rPr>
          <w:rFonts w:ascii="FrankRuehl" w:hAnsi="FrankRuehl" w:cs="FrankRuehl" w:hint="cs"/>
          <w:rtl/>
          <w:lang w:bidi="he-IL"/>
        </w:rPr>
        <w:t xml:space="preserve"> ע' ב</w:t>
      </w:r>
      <w:r>
        <w:rPr>
          <w:rFonts w:ascii="FrankRuehl" w:hAnsi="FrankRuehl" w:cs="FrankRuehl" w:hint="cs"/>
          <w:b/>
          <w:bCs/>
          <w:rtl/>
          <w:lang w:bidi="he-IL"/>
        </w:rPr>
        <w:t>מנחת חינוך</w:t>
      </w:r>
      <w:r>
        <w:rPr>
          <w:rFonts w:ascii="FrankRuehl" w:hAnsi="FrankRuehl" w:cs="FrankRuehl" w:hint="cs"/>
          <w:rtl/>
          <w:lang w:bidi="he-IL"/>
        </w:rPr>
        <w:t xml:space="preserve"> (קמ"ד, סוף אות ב'), שכ' להסתפק במי שחושב לאכול דבר שראוי לאכול, אלא שחשב לאוכלו שלא כדרך אכילה, האם אמרי' דכיון דבלאוין בכה"ג לא יהי' עובר, וכאן כתי' ואם האכל יאכל, דצריך להיות אכילה כדרך אכילתו דוקא, או דלמא כיון דבעשיין כבר הסתפק ה</w:t>
      </w:r>
      <w:r>
        <w:rPr>
          <w:rFonts w:ascii="FrankRuehl" w:hAnsi="FrankRuehl" w:cs="FrankRuehl" w:hint="cs"/>
          <w:b/>
          <w:bCs/>
          <w:rtl/>
          <w:lang w:bidi="he-IL"/>
        </w:rPr>
        <w:t>משנל"מ</w:t>
      </w:r>
      <w:r>
        <w:rPr>
          <w:rFonts w:ascii="FrankRuehl" w:hAnsi="FrankRuehl" w:cs="FrankRuehl" w:hint="cs"/>
          <w:rtl/>
          <w:lang w:bidi="he-IL"/>
        </w:rPr>
        <w:t xml:space="preserve"> אם יוצא מצוות אכילה שלא כדרך אכילתו, א"כ אולי ה"ה כאן יהי' פיגול אם חושב שלא כדרך אכילה, וגם יש מקום לומר דהוי כמו שליל, דאינו פיגול אם חושב לאוכלו, כיון דרובא דאינשי אין אוכלין אותו, והניח</w:t>
      </w:r>
      <w:r w:rsidR="008402FD">
        <w:rPr>
          <w:rFonts w:ascii="FrankRuehl" w:hAnsi="FrankRuehl" w:cs="FrankRuehl" w:hint="cs"/>
          <w:rtl/>
          <w:lang w:bidi="he-IL"/>
        </w:rPr>
        <w:t>ו</w:t>
      </w:r>
      <w:r>
        <w:rPr>
          <w:rFonts w:ascii="FrankRuehl" w:hAnsi="FrankRuehl" w:cs="FrankRuehl" w:hint="cs"/>
          <w:rtl/>
          <w:lang w:bidi="he-IL"/>
        </w:rPr>
        <w:t xml:space="preserve"> בספק.</w:t>
      </w:r>
    </w:p>
    <w:p w14:paraId="7A8D794B" w14:textId="77777777" w:rsidR="006A5880" w:rsidRDefault="006A5880" w:rsidP="006A5880">
      <w:pPr>
        <w:pStyle w:val="ListParagraph"/>
        <w:numPr>
          <w:ilvl w:val="0"/>
          <w:numId w:val="8"/>
        </w:numPr>
        <w:bidi/>
        <w:ind w:right="-180"/>
        <w:jc w:val="both"/>
        <w:rPr>
          <w:rFonts w:ascii="FrankRuehl" w:hAnsi="FrankRuehl" w:cs="FrankRuehl"/>
          <w:lang w:bidi="he-IL"/>
        </w:rPr>
      </w:pPr>
      <w:r>
        <w:rPr>
          <w:rFonts w:ascii="FrankRuehl" w:hAnsi="FrankRuehl" w:cs="FrankRuehl" w:hint="cs"/>
          <w:b/>
          <w:bCs/>
          <w:rtl/>
          <w:lang w:bidi="he-IL"/>
        </w:rPr>
        <w:t>לאכול כחצי זית ולהקטיר כחצי זית כשר, שאין אכילה והקטרה מצטרפין-</w:t>
      </w:r>
      <w:r>
        <w:rPr>
          <w:rFonts w:ascii="FrankRuehl" w:hAnsi="FrankRuehl" w:cs="FrankRuehl" w:hint="cs"/>
          <w:rtl/>
          <w:lang w:bidi="he-IL"/>
        </w:rPr>
        <w:t xml:space="preserve"> ע' ב</w:t>
      </w:r>
      <w:r>
        <w:rPr>
          <w:rFonts w:ascii="FrankRuehl" w:hAnsi="FrankRuehl" w:cs="FrankRuehl" w:hint="cs"/>
          <w:b/>
          <w:bCs/>
          <w:rtl/>
          <w:lang w:bidi="he-IL"/>
        </w:rPr>
        <w:t>רש"ש</w:t>
      </w:r>
      <w:r>
        <w:rPr>
          <w:rFonts w:ascii="FrankRuehl" w:hAnsi="FrankRuehl" w:cs="FrankRuehl" w:hint="cs"/>
          <w:rtl/>
          <w:lang w:bidi="he-IL"/>
        </w:rPr>
        <w:t xml:space="preserve"> שהביא קו' ה</w:t>
      </w:r>
      <w:r>
        <w:rPr>
          <w:rFonts w:ascii="FrankRuehl" w:hAnsi="FrankRuehl" w:cs="FrankRuehl" w:hint="cs"/>
          <w:b/>
          <w:bCs/>
          <w:rtl/>
          <w:lang w:bidi="he-IL"/>
        </w:rPr>
        <w:t>תוס' יו"ט</w:t>
      </w:r>
      <w:r>
        <w:rPr>
          <w:rFonts w:ascii="FrankRuehl" w:hAnsi="FrankRuehl" w:cs="FrankRuehl" w:hint="cs"/>
          <w:rtl/>
          <w:lang w:bidi="he-IL"/>
        </w:rPr>
        <w:t xml:space="preserve"> דהא כבר תנינן כן בסוף פרקין דלעיל. והביא הרש"ש דכבר הק' כן </w:t>
      </w:r>
      <w:r>
        <w:rPr>
          <w:rFonts w:ascii="FrankRuehl" w:hAnsi="FrankRuehl" w:cs="FrankRuehl" w:hint="cs"/>
          <w:b/>
          <w:bCs/>
          <w:rtl/>
          <w:lang w:bidi="he-IL"/>
        </w:rPr>
        <w:t>רש"י במנחות</w:t>
      </w:r>
      <w:r>
        <w:rPr>
          <w:rFonts w:ascii="FrankRuehl" w:hAnsi="FrankRuehl" w:cs="FrankRuehl" w:hint="cs"/>
          <w:rtl/>
          <w:lang w:bidi="he-IL"/>
        </w:rPr>
        <w:t xml:space="preserve"> (ריש פרק ג'), ותי' דבא ללמד דאף ר"א לא ס"ל דזה פוסל.</w:t>
      </w:r>
    </w:p>
    <w:p w14:paraId="20733500" w14:textId="77777777" w:rsidR="006A5880" w:rsidRDefault="006A5880" w:rsidP="006A5880">
      <w:pPr>
        <w:pStyle w:val="ListParagraph"/>
        <w:numPr>
          <w:ilvl w:val="0"/>
          <w:numId w:val="8"/>
        </w:numPr>
        <w:bidi/>
        <w:ind w:right="-180"/>
        <w:jc w:val="both"/>
        <w:rPr>
          <w:rFonts w:ascii="FrankRuehl" w:hAnsi="FrankRuehl" w:cs="FrankRuehl"/>
          <w:lang w:bidi="he-IL"/>
        </w:rPr>
      </w:pPr>
      <w:r>
        <w:rPr>
          <w:rFonts w:ascii="FrankRuehl" w:hAnsi="FrankRuehl" w:cs="FrankRuehl" w:hint="cs"/>
          <w:b/>
          <w:bCs/>
          <w:rtl/>
          <w:lang w:bidi="he-IL"/>
        </w:rPr>
        <w:t>לאכול כזית מן העור ומן הרוטב-</w:t>
      </w:r>
      <w:r>
        <w:rPr>
          <w:rFonts w:ascii="FrankRuehl" w:hAnsi="FrankRuehl" w:cs="FrankRuehl" w:hint="cs"/>
          <w:rtl/>
          <w:lang w:bidi="he-IL"/>
        </w:rPr>
        <w:t xml:space="preserve"> ע' ב</w:t>
      </w:r>
      <w:r>
        <w:rPr>
          <w:rFonts w:ascii="FrankRuehl" w:hAnsi="FrankRuehl" w:cs="FrankRuehl" w:hint="cs"/>
          <w:b/>
          <w:bCs/>
          <w:rtl/>
          <w:lang w:bidi="he-IL"/>
        </w:rPr>
        <w:t>טהרת הקודש</w:t>
      </w:r>
      <w:r>
        <w:rPr>
          <w:rFonts w:ascii="FrankRuehl" w:hAnsi="FrankRuehl" w:cs="FrankRuehl" w:hint="cs"/>
          <w:rtl/>
          <w:lang w:bidi="he-IL"/>
        </w:rPr>
        <w:t xml:space="preserve"> שהק' דהא קיי"ל דלכ"ע טעם כעיקר מדאורייתא בקדשים, וא"כ למה כשר אם </w:t>
      </w:r>
      <w:r w:rsidR="003F620F">
        <w:rPr>
          <w:rFonts w:ascii="FrankRuehl" w:hAnsi="FrankRuehl" w:cs="FrankRuehl" w:hint="cs"/>
          <w:rtl/>
          <w:lang w:bidi="he-IL"/>
        </w:rPr>
        <w:t>מחשב על אכילת כזית של הרוטב, הרי טעם כעיקר הוא. ותי' דמיירי ששתה המוהל בעין היוצא מן הבשר, ושתיי' אינו בכלל אכילה היכא דדבר ראוי לאכילה הוא, וממילא אינו נעשה פיגול</w:t>
      </w:r>
      <w:r w:rsidR="009C7246">
        <w:rPr>
          <w:rFonts w:ascii="FrankRuehl" w:hAnsi="FrankRuehl" w:cs="FrankRuehl" w:hint="cs"/>
          <w:rtl/>
          <w:lang w:bidi="he-IL"/>
        </w:rPr>
        <w:t xml:space="preserve"> משום מחשבה זו.</w:t>
      </w:r>
      <w:r w:rsidR="00850C81">
        <w:rPr>
          <w:rFonts w:ascii="FrankRuehl" w:hAnsi="FrankRuehl" w:cs="FrankRuehl" w:hint="cs"/>
          <w:rtl/>
          <w:lang w:bidi="he-IL"/>
        </w:rPr>
        <w:t xml:space="preserve"> וע"ש מה שהביא דבאיסורים אחרים חייב אף בכה"ג, וכ' דאיכא איזה פירכא דאין יכולין ללמוד מהם </w:t>
      </w:r>
      <w:r w:rsidR="00850C81">
        <w:rPr>
          <w:rFonts w:ascii="FrankRuehl" w:hAnsi="FrankRuehl" w:cs="FrankRuehl" w:hint="cs"/>
          <w:sz w:val="16"/>
          <w:szCs w:val="16"/>
          <w:rtl/>
          <w:lang w:bidi="he-IL"/>
        </w:rPr>
        <w:t>[ולכאו' נראה דנקט הטה"ק כצד א' של ספק ה</w:t>
      </w:r>
      <w:r w:rsidR="00850C81">
        <w:rPr>
          <w:rFonts w:ascii="FrankRuehl" w:hAnsi="FrankRuehl" w:cs="FrankRuehl" w:hint="cs"/>
          <w:b/>
          <w:bCs/>
          <w:sz w:val="16"/>
          <w:szCs w:val="16"/>
          <w:rtl/>
          <w:lang w:bidi="he-IL"/>
        </w:rPr>
        <w:t>מנ"ח</w:t>
      </w:r>
      <w:r w:rsidR="00850C81">
        <w:rPr>
          <w:rFonts w:ascii="FrankRuehl" w:hAnsi="FrankRuehl" w:cs="FrankRuehl" w:hint="cs"/>
          <w:sz w:val="16"/>
          <w:szCs w:val="16"/>
          <w:rtl/>
          <w:lang w:bidi="he-IL"/>
        </w:rPr>
        <w:t xml:space="preserve"> שהבאנו לעיל, דמחשבה על אכילה שלא כדרכה אינו עושה פיגול, וק' לומר דשתיי' גרע מסתם אכילה שלא כדרכה].</w:t>
      </w:r>
    </w:p>
    <w:p w14:paraId="7EC4F320" w14:textId="77777777" w:rsidR="00E93809" w:rsidRDefault="006D3858" w:rsidP="00E93809">
      <w:pPr>
        <w:pStyle w:val="ListParagraph"/>
        <w:numPr>
          <w:ilvl w:val="0"/>
          <w:numId w:val="8"/>
        </w:numPr>
        <w:bidi/>
        <w:ind w:right="-180"/>
        <w:jc w:val="both"/>
        <w:rPr>
          <w:rFonts w:ascii="FrankRuehl" w:hAnsi="FrankRuehl" w:cs="FrankRuehl"/>
          <w:lang w:bidi="he-IL"/>
        </w:rPr>
      </w:pPr>
      <w:r>
        <w:rPr>
          <w:rFonts w:ascii="FrankRuehl" w:hAnsi="FrankRuehl" w:cs="FrankRuehl" w:hint="cs"/>
          <w:b/>
          <w:bCs/>
          <w:rtl/>
          <w:lang w:bidi="he-IL"/>
        </w:rPr>
        <w:t>ומן העצמות</w:t>
      </w:r>
      <w:r w:rsidR="00E93809">
        <w:rPr>
          <w:rFonts w:ascii="FrankRuehl" w:hAnsi="FrankRuehl" w:cs="FrankRuehl" w:hint="cs"/>
          <w:b/>
          <w:bCs/>
          <w:rtl/>
          <w:lang w:bidi="he-IL"/>
        </w:rPr>
        <w:t>-</w:t>
      </w:r>
      <w:r>
        <w:rPr>
          <w:rFonts w:ascii="FrankRuehl" w:hAnsi="FrankRuehl" w:cs="FrankRuehl" w:hint="cs"/>
          <w:rtl/>
          <w:lang w:bidi="he-IL"/>
        </w:rPr>
        <w:t xml:space="preserve"> כ' ה</w:t>
      </w:r>
      <w:r>
        <w:rPr>
          <w:rFonts w:ascii="FrankRuehl" w:hAnsi="FrankRuehl" w:cs="FrankRuehl" w:hint="cs"/>
          <w:b/>
          <w:bCs/>
          <w:rtl/>
          <w:lang w:bidi="he-IL"/>
        </w:rPr>
        <w:t>לקוטי הלכות</w:t>
      </w:r>
      <w:r>
        <w:rPr>
          <w:rFonts w:ascii="FrankRuehl" w:hAnsi="FrankRuehl" w:cs="FrankRuehl" w:hint="cs"/>
          <w:rtl/>
          <w:lang w:bidi="he-IL"/>
        </w:rPr>
        <w:t xml:space="preserve"> (זבח תודה ד"ה השוחט) </w:t>
      </w:r>
      <w:r w:rsidR="00971C19">
        <w:rPr>
          <w:rFonts w:ascii="FrankRuehl" w:hAnsi="FrankRuehl" w:cs="FrankRuehl" w:hint="cs"/>
          <w:rtl/>
          <w:lang w:bidi="he-IL"/>
        </w:rPr>
        <w:t xml:space="preserve">דאפי' השוחט </w:t>
      </w:r>
      <w:r w:rsidR="00EA2878">
        <w:rPr>
          <w:rFonts w:ascii="FrankRuehl" w:hAnsi="FrankRuehl" w:cs="FrankRuehl" w:hint="cs"/>
          <w:rtl/>
          <w:lang w:bidi="he-IL"/>
        </w:rPr>
        <w:t>עולה ע"מ להקטיר העצמות שלא בזמנו, מ"מ הקרבן כשר, אע"ג דמצוה לכתחלה להקטיר גם העצמות והגידין של הקרבן עולה כשהם מחוברין בבשר, מ"מ כיון דאם פרשו לא יעלו, א"כ אין נחשבין חלק של הבשר, וממילא הם בכלל דבר שאינו ראוי להקטרה.</w:t>
      </w:r>
    </w:p>
    <w:p w14:paraId="64B00051" w14:textId="0F109E15" w:rsidR="00EA2878" w:rsidRDefault="00EA2878" w:rsidP="00EA2878">
      <w:pPr>
        <w:pStyle w:val="ListParagraph"/>
        <w:numPr>
          <w:ilvl w:val="0"/>
          <w:numId w:val="8"/>
        </w:numPr>
        <w:bidi/>
        <w:ind w:right="-180"/>
        <w:jc w:val="both"/>
        <w:rPr>
          <w:rFonts w:ascii="FrankRuehl" w:hAnsi="FrankRuehl" w:cs="FrankRuehl"/>
          <w:lang w:bidi="he-IL"/>
        </w:rPr>
      </w:pPr>
      <w:r>
        <w:rPr>
          <w:rFonts w:ascii="FrankRuehl" w:hAnsi="FrankRuehl" w:cs="FrankRuehl" w:hint="cs"/>
          <w:b/>
          <w:bCs/>
          <w:rtl/>
          <w:lang w:bidi="he-IL"/>
        </w:rPr>
        <w:t>ואין חייבין עליהן משום פיגול ונותר וטמא</w:t>
      </w:r>
      <w:r w:rsidR="00044F0F">
        <w:rPr>
          <w:rFonts w:ascii="FrankRuehl" w:hAnsi="FrankRuehl" w:cs="FrankRuehl" w:hint="cs"/>
          <w:b/>
          <w:bCs/>
          <w:rtl/>
          <w:lang w:bidi="he-IL"/>
        </w:rPr>
        <w:t>-</w:t>
      </w:r>
      <w:r w:rsidR="00044F0F">
        <w:rPr>
          <w:rFonts w:ascii="FrankRuehl" w:hAnsi="FrankRuehl" w:cs="FrankRuehl" w:hint="cs"/>
          <w:rtl/>
          <w:lang w:bidi="he-IL"/>
        </w:rPr>
        <w:t xml:space="preserve"> ע' ב</w:t>
      </w:r>
      <w:r w:rsidR="00044F0F">
        <w:rPr>
          <w:rFonts w:ascii="FrankRuehl" w:hAnsi="FrankRuehl" w:cs="FrankRuehl" w:hint="cs"/>
          <w:b/>
          <w:bCs/>
          <w:rtl/>
          <w:lang w:bidi="he-IL"/>
        </w:rPr>
        <w:t>משנה למלך</w:t>
      </w:r>
      <w:r w:rsidR="00044F0F">
        <w:rPr>
          <w:rFonts w:ascii="FrankRuehl" w:hAnsi="FrankRuehl" w:cs="FrankRuehl" w:hint="cs"/>
          <w:rtl/>
          <w:lang w:bidi="he-IL"/>
        </w:rPr>
        <w:t xml:space="preserve"> (פסוהמ"ק י"ח, ז', בסוף דבריו) דכ' להסתפק אם אף דפטור מכרת, מ"מ אולי חייב מלקות משום שאכל פסולי המוקדשין, משום לאו דלא תאכל כל תועבה.</w:t>
      </w:r>
    </w:p>
    <w:p w14:paraId="0B8D40AF" w14:textId="48A14691" w:rsidR="00392933" w:rsidRDefault="00392933" w:rsidP="00392933">
      <w:pPr>
        <w:pStyle w:val="ListParagraph"/>
        <w:numPr>
          <w:ilvl w:val="0"/>
          <w:numId w:val="8"/>
        </w:numPr>
        <w:bidi/>
        <w:ind w:right="-180"/>
        <w:jc w:val="both"/>
        <w:rPr>
          <w:rFonts w:ascii="FrankRuehl" w:hAnsi="FrankRuehl" w:cs="FrankRuehl"/>
          <w:lang w:bidi="he-IL"/>
        </w:rPr>
      </w:pPr>
      <w:r>
        <w:rPr>
          <w:rFonts w:ascii="FrankRuehl" w:hAnsi="FrankRuehl" w:cs="FrankRuehl" w:hint="cs"/>
          <w:b/>
          <w:bCs/>
          <w:rtl/>
          <w:lang w:bidi="he-IL"/>
        </w:rPr>
        <w:t>לאכול שליל או שליא בחוץ לא פיגל-</w:t>
      </w:r>
      <w:r>
        <w:rPr>
          <w:rFonts w:ascii="FrankRuehl" w:hAnsi="FrankRuehl" w:cs="FrankRuehl" w:hint="cs"/>
          <w:rtl/>
          <w:lang w:bidi="he-IL"/>
        </w:rPr>
        <w:t xml:space="preserve"> פ</w:t>
      </w:r>
      <w:r>
        <w:rPr>
          <w:rFonts w:ascii="FrankRuehl" w:hAnsi="FrankRuehl" w:cs="FrankRuehl" w:hint="cs"/>
          <w:b/>
          <w:bCs/>
          <w:rtl/>
          <w:lang w:bidi="he-IL"/>
        </w:rPr>
        <w:t>רש"י</w:t>
      </w:r>
      <w:r>
        <w:rPr>
          <w:rFonts w:ascii="FrankRuehl" w:hAnsi="FrankRuehl" w:cs="FrankRuehl" w:hint="cs"/>
          <w:rtl/>
          <w:lang w:bidi="he-IL"/>
        </w:rPr>
        <w:t xml:space="preserve">, משום </w:t>
      </w:r>
      <w:r w:rsidR="00B56056">
        <w:rPr>
          <w:rFonts w:ascii="FrankRuehl" w:hAnsi="FrankRuehl" w:cs="FrankRuehl" w:hint="cs"/>
          <w:rtl/>
          <w:lang w:bidi="he-IL"/>
        </w:rPr>
        <w:t xml:space="preserve">דלאו גופי' דזיבחא הוא. והק' </w:t>
      </w:r>
      <w:r w:rsidR="00B56056">
        <w:rPr>
          <w:rFonts w:ascii="FrankRuehl" w:hAnsi="FrankRuehl" w:cs="FrankRuehl" w:hint="cs"/>
          <w:b/>
          <w:bCs/>
          <w:rtl/>
          <w:lang w:bidi="he-IL"/>
        </w:rPr>
        <w:t>רעק"א</w:t>
      </w:r>
      <w:r w:rsidR="00B56056">
        <w:rPr>
          <w:rFonts w:ascii="FrankRuehl" w:hAnsi="FrankRuehl" w:cs="FrankRuehl" w:hint="cs"/>
          <w:rtl/>
          <w:lang w:bidi="he-IL"/>
        </w:rPr>
        <w:t>, הא דייק בגמ' דאי"ז טעם מתני', דהא משמע מדלא כייל שליל עם חלב וביצים לענין אם נתפגל הזבח דפטורים, אלמא דאם נתפגל הקרבן הרי הוא חייב על השליל, וע"כ שהוא חלק של הקרבן, ומה שאינו יכול לפגל הקרבן ע"י השליל הוא מטעם אחר, דהיינו דאין דרך לאכול השליל, וכמש"כ רש"י על הגמ' בדעת ר"א, וצ"ע על דברי רש"י (וה</w:t>
      </w:r>
      <w:r w:rsidR="00B56056">
        <w:rPr>
          <w:rFonts w:ascii="FrankRuehl" w:hAnsi="FrankRuehl" w:cs="FrankRuehl" w:hint="cs"/>
          <w:b/>
          <w:bCs/>
          <w:rtl/>
          <w:lang w:bidi="he-IL"/>
        </w:rPr>
        <w:t>רע"ב</w:t>
      </w:r>
      <w:r w:rsidR="00B56056">
        <w:rPr>
          <w:rFonts w:ascii="FrankRuehl" w:hAnsi="FrankRuehl" w:cs="FrankRuehl" w:hint="cs"/>
          <w:rtl/>
          <w:lang w:bidi="he-IL"/>
        </w:rPr>
        <w:t>) על המשנה שלא פי' כן.</w:t>
      </w:r>
    </w:p>
    <w:p w14:paraId="206B15E1" w14:textId="64041C40" w:rsidR="00392933" w:rsidRDefault="00392933" w:rsidP="00392933">
      <w:pPr>
        <w:pStyle w:val="ListParagraph"/>
        <w:numPr>
          <w:ilvl w:val="0"/>
          <w:numId w:val="8"/>
        </w:numPr>
        <w:bidi/>
        <w:ind w:right="-180"/>
        <w:jc w:val="both"/>
        <w:rPr>
          <w:rFonts w:ascii="FrankRuehl" w:hAnsi="FrankRuehl" w:cs="FrankRuehl"/>
          <w:lang w:bidi="he-IL"/>
        </w:rPr>
      </w:pPr>
      <w:r>
        <w:rPr>
          <w:rFonts w:ascii="FrankRuehl" w:hAnsi="FrankRuehl" w:cs="FrankRuehl" w:hint="cs"/>
          <w:b/>
          <w:bCs/>
          <w:rtl/>
          <w:lang w:bidi="he-IL"/>
        </w:rPr>
        <w:t>לאכול ביציהן בחוץ לא פיגל-</w:t>
      </w:r>
      <w:r>
        <w:rPr>
          <w:rFonts w:ascii="FrankRuehl" w:hAnsi="FrankRuehl" w:cs="FrankRuehl" w:hint="cs"/>
          <w:rtl/>
          <w:lang w:bidi="he-IL"/>
        </w:rPr>
        <w:t xml:space="preserve"> והעיר ה</w:t>
      </w:r>
      <w:r>
        <w:rPr>
          <w:rFonts w:ascii="FrankRuehl" w:hAnsi="FrankRuehl" w:cs="FrankRuehl" w:hint="cs"/>
          <w:b/>
          <w:bCs/>
          <w:rtl/>
          <w:lang w:bidi="he-IL"/>
        </w:rPr>
        <w:t>מרומי שדה</w:t>
      </w:r>
      <w:r>
        <w:rPr>
          <w:rFonts w:ascii="FrankRuehl" w:hAnsi="FrankRuehl" w:cs="FrankRuehl" w:hint="cs"/>
          <w:rtl/>
          <w:lang w:bidi="he-IL"/>
        </w:rPr>
        <w:t>, דמה דכאן לא הביא המשנה גם חלב המוקדשין, היינו משום דלענין דין פיגול כתיב ואם האכל יאכל, ולענין מחשבת אכילה אין שתיי' בכלל אכילה.</w:t>
      </w:r>
    </w:p>
    <w:p w14:paraId="0CBCA855" w14:textId="7636D5C5" w:rsidR="000245AE" w:rsidRDefault="000245AE" w:rsidP="000245AE">
      <w:pPr>
        <w:pStyle w:val="ListParagraph"/>
        <w:numPr>
          <w:ilvl w:val="0"/>
          <w:numId w:val="8"/>
        </w:numPr>
        <w:bidi/>
        <w:ind w:right="-180"/>
        <w:jc w:val="both"/>
        <w:rPr>
          <w:rFonts w:ascii="FrankRuehl" w:hAnsi="FrankRuehl" w:cs="FrankRuehl"/>
          <w:lang w:bidi="he-IL"/>
        </w:rPr>
      </w:pPr>
      <w:r>
        <w:rPr>
          <w:rFonts w:ascii="FrankRuehl" w:hAnsi="FrankRuehl" w:cs="FrankRuehl" w:hint="cs"/>
          <w:b/>
          <w:bCs/>
          <w:rtl/>
          <w:lang w:bidi="he-IL"/>
        </w:rPr>
        <w:t>ושוים שאם חישב באכילת פרים ו</w:t>
      </w:r>
      <w:r w:rsidR="002D1182">
        <w:rPr>
          <w:rFonts w:ascii="FrankRuehl" w:hAnsi="FrankRuehl" w:cs="FrankRuehl" w:hint="cs"/>
          <w:b/>
          <w:bCs/>
          <w:rtl/>
          <w:lang w:bidi="he-IL"/>
        </w:rPr>
        <w:t>בשריפתן לא עשה ולא כלום-</w:t>
      </w:r>
      <w:r w:rsidR="002D1182">
        <w:rPr>
          <w:rFonts w:ascii="FrankRuehl" w:hAnsi="FrankRuehl" w:cs="FrankRuehl" w:hint="cs"/>
          <w:rtl/>
          <w:lang w:bidi="he-IL"/>
        </w:rPr>
        <w:t xml:space="preserve"> פ</w:t>
      </w:r>
      <w:r w:rsidR="002D1182">
        <w:rPr>
          <w:rFonts w:ascii="FrankRuehl" w:hAnsi="FrankRuehl" w:cs="FrankRuehl" w:hint="cs"/>
          <w:b/>
          <w:bCs/>
          <w:rtl/>
          <w:lang w:bidi="he-IL"/>
        </w:rPr>
        <w:t>רש"י</w:t>
      </w:r>
      <w:r w:rsidR="002D1182">
        <w:rPr>
          <w:rFonts w:ascii="FrankRuehl" w:hAnsi="FrankRuehl" w:cs="FrankRuehl" w:hint="cs"/>
          <w:rtl/>
          <w:lang w:bidi="he-IL"/>
        </w:rPr>
        <w:t>, דמחשבת אכילה לא מהניא בהו, שהרי אין דרכם לאכול, ומחשבת שריפה נמי לא, שהרי הקפיד התורה על אכילת מזבח. אולם אם חישב שתאכלוהו אש למחר, אה"נ שיהי' שייך בה פיגול. והעיר ה</w:t>
      </w:r>
      <w:r w:rsidR="002D1182">
        <w:rPr>
          <w:rFonts w:ascii="FrankRuehl" w:hAnsi="FrankRuehl" w:cs="FrankRuehl" w:hint="cs"/>
          <w:b/>
          <w:bCs/>
          <w:rtl/>
          <w:lang w:bidi="he-IL"/>
        </w:rPr>
        <w:t>טהרת הקודש</w:t>
      </w:r>
      <w:r w:rsidR="002D1182">
        <w:rPr>
          <w:rFonts w:ascii="FrankRuehl" w:hAnsi="FrankRuehl" w:cs="FrankRuehl" w:hint="cs"/>
          <w:rtl/>
          <w:lang w:bidi="he-IL"/>
        </w:rPr>
        <w:t>, א"כ ל"ל להמתרץ לדחוקי נפשי' ולומר דהדיוק הוא דאם חושב על האמורים נתפגלו האמורים, לימא דהדיוק הוא דאם חושב על הבשר בלשון אכילת האש, דאז שפיר הוי פיגול, ע"ש מש"כ בזה.</w:t>
      </w:r>
    </w:p>
    <w:p w14:paraId="30B3E9D8" w14:textId="7A5A6EDA" w:rsidR="003C024D" w:rsidRDefault="003C024D" w:rsidP="003C024D">
      <w:pPr>
        <w:pStyle w:val="ListParagraph"/>
        <w:numPr>
          <w:ilvl w:val="0"/>
          <w:numId w:val="8"/>
        </w:numPr>
        <w:bidi/>
        <w:ind w:right="-180"/>
        <w:jc w:val="both"/>
        <w:rPr>
          <w:rFonts w:ascii="FrankRuehl" w:hAnsi="FrankRuehl" w:cs="FrankRuehl"/>
          <w:lang w:bidi="he-IL"/>
        </w:rPr>
      </w:pPr>
      <w:r>
        <w:rPr>
          <w:rFonts w:ascii="FrankRuehl" w:hAnsi="FrankRuehl" w:cs="FrankRuehl" w:hint="cs"/>
          <w:b/>
          <w:bCs/>
          <w:rtl/>
          <w:lang w:bidi="he-IL"/>
        </w:rPr>
        <w:t>ואלו שאין מפגלין ואין מתפגלין, צמר שבראשי כבשים, וכו'-</w:t>
      </w:r>
      <w:r>
        <w:rPr>
          <w:rFonts w:ascii="FrankRuehl" w:hAnsi="FrankRuehl" w:cs="FrankRuehl" w:hint="cs"/>
          <w:rtl/>
          <w:lang w:bidi="he-IL"/>
        </w:rPr>
        <w:t xml:space="preserve"> פ</w:t>
      </w:r>
      <w:r>
        <w:rPr>
          <w:rFonts w:ascii="FrankRuehl" w:hAnsi="FrankRuehl" w:cs="FrankRuehl" w:hint="cs"/>
          <w:b/>
          <w:bCs/>
          <w:rtl/>
          <w:lang w:bidi="he-IL"/>
        </w:rPr>
        <w:t>רש"י</w:t>
      </w:r>
      <w:r>
        <w:rPr>
          <w:rFonts w:ascii="FrankRuehl" w:hAnsi="FrankRuehl" w:cs="FrankRuehl" w:hint="cs"/>
          <w:rtl/>
          <w:lang w:bidi="he-IL"/>
        </w:rPr>
        <w:t>, דאצטריך לאשמעינן דצמר אינו בכלל, משום דעור הראש קרב עם הראש, דאינו בכלל הפשט, וכו'. והק' ה</w:t>
      </w:r>
      <w:r>
        <w:rPr>
          <w:rFonts w:ascii="FrankRuehl" w:hAnsi="FrankRuehl" w:cs="FrankRuehl" w:hint="cs"/>
          <w:b/>
          <w:bCs/>
          <w:rtl/>
          <w:lang w:bidi="he-IL"/>
        </w:rPr>
        <w:t>גרי"ז על הרמב"ם</w:t>
      </w:r>
      <w:r>
        <w:rPr>
          <w:rFonts w:ascii="FrankRuehl" w:hAnsi="FrankRuehl" w:cs="FrankRuehl" w:hint="cs"/>
          <w:rtl/>
          <w:lang w:bidi="he-IL"/>
        </w:rPr>
        <w:t xml:space="preserve"> (פסוהמ"ק י"ד, ז', ד"ה והנה בזבחים), </w:t>
      </w:r>
      <w:r w:rsidR="0042675D">
        <w:rPr>
          <w:rFonts w:ascii="FrankRuehl" w:hAnsi="FrankRuehl" w:cs="FrankRuehl" w:hint="cs"/>
          <w:rtl/>
          <w:lang w:bidi="he-IL"/>
        </w:rPr>
        <w:t xml:space="preserve">דנהי דעור הראש לאו בכלל דין הפשט הוא, מ"מ גם בכלל דין בשר לא הוי, וא"כ גם בלא דין הפשט אינו בר הקטרה, ואף דמוקטר ביחד עם הבשר כל זמן שהוא מחובר לבשר, אבל אין לו דין הקטרה בפנ"ע, </w:t>
      </w:r>
      <w:r w:rsidR="0042675D">
        <w:rPr>
          <w:rFonts w:ascii="FrankRuehl" w:hAnsi="FrankRuehl" w:cs="FrankRuehl" w:hint="cs"/>
          <w:rtl/>
          <w:lang w:bidi="he-IL"/>
        </w:rPr>
        <w:lastRenderedPageBreak/>
        <w:t xml:space="preserve">והא גם בצמר הדין כן, דאף דאין להם דין הקטרה בפנ"ע, אבל כל זמן שהן מחוברין לבשר אית בהו דין הקטרה עם הבשר. וכ' דאולי כוונת רש"י לעור הבשר הוא רך ודינו כבשר ממש, רק דאם הי' העור בכלל הפשט, אז גם עור רך זה יהי' בכלל הפשט, וא"כ זהו שכ' רש"י דכיון דלית בה דין הפשט, א"כ חל בה דין בשר לכל דבר </w:t>
      </w:r>
      <w:r w:rsidR="0042675D">
        <w:rPr>
          <w:rFonts w:ascii="FrankRuehl" w:hAnsi="FrankRuehl" w:cs="FrankRuehl" w:hint="cs"/>
          <w:sz w:val="16"/>
          <w:szCs w:val="16"/>
          <w:rtl/>
          <w:lang w:bidi="he-IL"/>
        </w:rPr>
        <w:t>[ולכאו' יוצא מזה דס"ל להגרי"ז כמו שהבאנו לעיל מה</w:t>
      </w:r>
      <w:r w:rsidR="0042675D">
        <w:rPr>
          <w:rFonts w:ascii="FrankRuehl" w:hAnsi="FrankRuehl" w:cs="FrankRuehl" w:hint="cs"/>
          <w:b/>
          <w:bCs/>
          <w:sz w:val="16"/>
          <w:szCs w:val="16"/>
          <w:rtl/>
          <w:lang w:bidi="he-IL"/>
        </w:rPr>
        <w:t>זבח תודה</w:t>
      </w:r>
      <w:r w:rsidR="0042675D">
        <w:rPr>
          <w:rFonts w:ascii="FrankRuehl" w:hAnsi="FrankRuehl" w:cs="FrankRuehl" w:hint="cs"/>
          <w:sz w:val="16"/>
          <w:szCs w:val="16"/>
          <w:rtl/>
          <w:lang w:bidi="he-IL"/>
        </w:rPr>
        <w:t>, דמה שאינו נקטר אלא אם הוא מחובר, כמו עצמות בעולה, אינן בכלל דברים המוקטרים לענין פיגול].</w:t>
      </w:r>
    </w:p>
    <w:p w14:paraId="4F0920A1" w14:textId="41F3813C" w:rsidR="006D3858" w:rsidRPr="00330D65" w:rsidRDefault="00FD6820" w:rsidP="00330D65">
      <w:pPr>
        <w:pStyle w:val="ListParagraph"/>
        <w:numPr>
          <w:ilvl w:val="0"/>
          <w:numId w:val="8"/>
        </w:numPr>
        <w:bidi/>
        <w:ind w:right="-180"/>
        <w:jc w:val="both"/>
        <w:rPr>
          <w:rFonts w:ascii="FrankRuehl" w:hAnsi="FrankRuehl" w:cs="FrankRuehl"/>
          <w:rtl/>
          <w:lang w:bidi="he-IL"/>
        </w:rPr>
      </w:pPr>
      <w:r>
        <w:rPr>
          <w:rFonts w:ascii="FrankRuehl" w:hAnsi="FrankRuehl" w:cs="FrankRuehl" w:hint="cs"/>
          <w:b/>
          <w:bCs/>
          <w:rtl/>
          <w:lang w:bidi="he-IL"/>
        </w:rPr>
        <w:t xml:space="preserve">ומודה ר"ע </w:t>
      </w:r>
      <w:r w:rsidR="004350C6">
        <w:rPr>
          <w:rFonts w:ascii="FrankRuehl" w:hAnsi="FrankRuehl" w:cs="FrankRuehl" w:hint="cs"/>
          <w:b/>
          <w:bCs/>
          <w:rtl/>
          <w:lang w:bidi="he-IL"/>
        </w:rPr>
        <w:t>בעולת נקבה דכמאן דקדם מומה להקדישה דמי-</w:t>
      </w:r>
      <w:r w:rsidR="004350C6">
        <w:rPr>
          <w:rFonts w:ascii="FrankRuehl" w:hAnsi="FrankRuehl" w:cs="FrankRuehl" w:hint="cs"/>
          <w:rtl/>
          <w:lang w:bidi="he-IL"/>
        </w:rPr>
        <w:t xml:space="preserve"> הק' ה</w:t>
      </w:r>
      <w:r w:rsidR="004350C6">
        <w:rPr>
          <w:rFonts w:ascii="FrankRuehl" w:hAnsi="FrankRuehl" w:cs="FrankRuehl" w:hint="cs"/>
          <w:b/>
          <w:bCs/>
          <w:rtl/>
          <w:lang w:bidi="he-IL"/>
        </w:rPr>
        <w:t>גרי"ז על הרמב"ם</w:t>
      </w:r>
      <w:r w:rsidR="004350C6">
        <w:rPr>
          <w:rFonts w:ascii="FrankRuehl" w:hAnsi="FrankRuehl" w:cs="FrankRuehl" w:hint="cs"/>
          <w:rtl/>
          <w:lang w:bidi="he-IL"/>
        </w:rPr>
        <w:t xml:space="preserve"> (מכתבים, עמ' עח), הא מה דמודה ר"ע בקודם מומה להקדישה דאם עלו לא ירדו, היינו משום דלא חל בה קדושת הגוף בכלל, אבל במקדיש נקבה לעולה, הרי הדין הוא דירעה עד שיסתאב, אלמא דאית בה קדושת הגוף, וא"כ מהו הדמיון לקדם מומה להקדשה. וחידש דאף דאית בה קדושת הגוף, אולם אי"ז קדושת הגוף ליקרב, וזהו כמו קדם מומה להקדשה, דסכ"ס אין בה קדושת הגוף ליקרב, ולכן שפיר מודה ר"ע דבכה"ג אם עלו ירדו.</w:t>
      </w:r>
      <w:bookmarkStart w:id="0" w:name="_GoBack"/>
      <w:bookmarkEnd w:id="0"/>
    </w:p>
    <w:sectPr w:rsidR="006D3858" w:rsidRPr="00330D65" w:rsidSect="00FE22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F7A2E"/>
    <w:multiLevelType w:val="hybridMultilevel"/>
    <w:tmpl w:val="5F6878C6"/>
    <w:lvl w:ilvl="0" w:tplc="6038B918">
      <w:start w:val="1"/>
      <w:numFmt w:val="hebrew1"/>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47DA31D8"/>
    <w:multiLevelType w:val="hybridMultilevel"/>
    <w:tmpl w:val="70201842"/>
    <w:lvl w:ilvl="0" w:tplc="798ED83E">
      <w:start w:val="1"/>
      <w:numFmt w:val="hebrew1"/>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4CE11F1C"/>
    <w:multiLevelType w:val="hybridMultilevel"/>
    <w:tmpl w:val="7338A6DA"/>
    <w:lvl w:ilvl="0" w:tplc="A82C3E04">
      <w:start w:val="1"/>
      <w:numFmt w:val="hebrew1"/>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56757D24"/>
    <w:multiLevelType w:val="hybridMultilevel"/>
    <w:tmpl w:val="12A21E62"/>
    <w:lvl w:ilvl="0" w:tplc="DB282EC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594A86"/>
    <w:multiLevelType w:val="hybridMultilevel"/>
    <w:tmpl w:val="456A6A1A"/>
    <w:lvl w:ilvl="0" w:tplc="CA4EB9AA">
      <w:start w:val="1"/>
      <w:numFmt w:val="hebrew1"/>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63242C40"/>
    <w:multiLevelType w:val="hybridMultilevel"/>
    <w:tmpl w:val="3156FFFC"/>
    <w:lvl w:ilvl="0" w:tplc="5BCC1AD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887AF2"/>
    <w:multiLevelType w:val="hybridMultilevel"/>
    <w:tmpl w:val="E4BA6AB2"/>
    <w:lvl w:ilvl="0" w:tplc="0C92A148">
      <w:start w:val="1"/>
      <w:numFmt w:val="hebrew1"/>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747D4240"/>
    <w:multiLevelType w:val="hybridMultilevel"/>
    <w:tmpl w:val="FE602D50"/>
    <w:lvl w:ilvl="0" w:tplc="E03AADA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5"/>
  </w:num>
  <w:num w:numId="4">
    <w:abstractNumId w:val="2"/>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064"/>
    <w:rsid w:val="00007C46"/>
    <w:rsid w:val="0001248A"/>
    <w:rsid w:val="00014C48"/>
    <w:rsid w:val="000245AE"/>
    <w:rsid w:val="00044F0F"/>
    <w:rsid w:val="00052A0C"/>
    <w:rsid w:val="000777BF"/>
    <w:rsid w:val="000830DA"/>
    <w:rsid w:val="000C33FA"/>
    <w:rsid w:val="000F05F4"/>
    <w:rsid w:val="000F5B42"/>
    <w:rsid w:val="001266A5"/>
    <w:rsid w:val="001324F8"/>
    <w:rsid w:val="001410AE"/>
    <w:rsid w:val="00161CF9"/>
    <w:rsid w:val="001842E9"/>
    <w:rsid w:val="00193A0E"/>
    <w:rsid w:val="001A1441"/>
    <w:rsid w:val="001D4723"/>
    <w:rsid w:val="00266E96"/>
    <w:rsid w:val="002721B0"/>
    <w:rsid w:val="00280476"/>
    <w:rsid w:val="00283302"/>
    <w:rsid w:val="00287EDC"/>
    <w:rsid w:val="002D1182"/>
    <w:rsid w:val="002D6E55"/>
    <w:rsid w:val="002E110C"/>
    <w:rsid w:val="002E168F"/>
    <w:rsid w:val="002F4EA0"/>
    <w:rsid w:val="00304576"/>
    <w:rsid w:val="00330D65"/>
    <w:rsid w:val="00387581"/>
    <w:rsid w:val="00392933"/>
    <w:rsid w:val="00397472"/>
    <w:rsid w:val="003A7B0D"/>
    <w:rsid w:val="003B6F3F"/>
    <w:rsid w:val="003C024D"/>
    <w:rsid w:val="003D6C3A"/>
    <w:rsid w:val="003F43BB"/>
    <w:rsid w:val="003F620F"/>
    <w:rsid w:val="00400747"/>
    <w:rsid w:val="00426309"/>
    <w:rsid w:val="0042675D"/>
    <w:rsid w:val="004350C6"/>
    <w:rsid w:val="004833D0"/>
    <w:rsid w:val="004B06CF"/>
    <w:rsid w:val="004B0877"/>
    <w:rsid w:val="004B4557"/>
    <w:rsid w:val="004B790B"/>
    <w:rsid w:val="004E5EBF"/>
    <w:rsid w:val="005609F3"/>
    <w:rsid w:val="005E3741"/>
    <w:rsid w:val="0060602F"/>
    <w:rsid w:val="00637064"/>
    <w:rsid w:val="00640EBE"/>
    <w:rsid w:val="00664993"/>
    <w:rsid w:val="00672BE0"/>
    <w:rsid w:val="00683DA6"/>
    <w:rsid w:val="006A5880"/>
    <w:rsid w:val="006B3B3F"/>
    <w:rsid w:val="006D3858"/>
    <w:rsid w:val="006F2EBB"/>
    <w:rsid w:val="00734AC1"/>
    <w:rsid w:val="007449A5"/>
    <w:rsid w:val="00765073"/>
    <w:rsid w:val="007B0505"/>
    <w:rsid w:val="007E1701"/>
    <w:rsid w:val="00812394"/>
    <w:rsid w:val="00836793"/>
    <w:rsid w:val="008402FD"/>
    <w:rsid w:val="0084554D"/>
    <w:rsid w:val="00850C81"/>
    <w:rsid w:val="00857DDC"/>
    <w:rsid w:val="008773ED"/>
    <w:rsid w:val="009000D0"/>
    <w:rsid w:val="00944C83"/>
    <w:rsid w:val="00971C19"/>
    <w:rsid w:val="00972B04"/>
    <w:rsid w:val="00980A78"/>
    <w:rsid w:val="00984919"/>
    <w:rsid w:val="009860A4"/>
    <w:rsid w:val="00990F5F"/>
    <w:rsid w:val="009B6F27"/>
    <w:rsid w:val="009C7246"/>
    <w:rsid w:val="009D3C00"/>
    <w:rsid w:val="00A24D57"/>
    <w:rsid w:val="00A379FA"/>
    <w:rsid w:val="00A450EC"/>
    <w:rsid w:val="00A556E6"/>
    <w:rsid w:val="00A74C08"/>
    <w:rsid w:val="00A9072D"/>
    <w:rsid w:val="00B56056"/>
    <w:rsid w:val="00BB7ABB"/>
    <w:rsid w:val="00BF04B3"/>
    <w:rsid w:val="00BF0D26"/>
    <w:rsid w:val="00C158A3"/>
    <w:rsid w:val="00C21268"/>
    <w:rsid w:val="00C27D18"/>
    <w:rsid w:val="00C31AD2"/>
    <w:rsid w:val="00C3558B"/>
    <w:rsid w:val="00C47E43"/>
    <w:rsid w:val="00C6210C"/>
    <w:rsid w:val="00C75FD2"/>
    <w:rsid w:val="00C97800"/>
    <w:rsid w:val="00CE59B9"/>
    <w:rsid w:val="00CF0560"/>
    <w:rsid w:val="00CF0680"/>
    <w:rsid w:val="00CF1133"/>
    <w:rsid w:val="00D200CC"/>
    <w:rsid w:val="00D445DE"/>
    <w:rsid w:val="00D761A8"/>
    <w:rsid w:val="00D95D74"/>
    <w:rsid w:val="00DC50D9"/>
    <w:rsid w:val="00DD1BD9"/>
    <w:rsid w:val="00E15513"/>
    <w:rsid w:val="00E33EF6"/>
    <w:rsid w:val="00E53FFB"/>
    <w:rsid w:val="00E93809"/>
    <w:rsid w:val="00EA2878"/>
    <w:rsid w:val="00F1254F"/>
    <w:rsid w:val="00F361A0"/>
    <w:rsid w:val="00F80690"/>
    <w:rsid w:val="00F826A6"/>
    <w:rsid w:val="00FA0BB8"/>
    <w:rsid w:val="00FC58DA"/>
    <w:rsid w:val="00FD6820"/>
    <w:rsid w:val="00FE22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DC404"/>
  <w15:chartTrackingRefBased/>
  <w15:docId w15:val="{EB3C471E-2DD1-4FC0-B0F3-9C10E73F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EBF"/>
    <w:pPr>
      <w:ind w:left="720"/>
      <w:contextualSpacing/>
    </w:pPr>
  </w:style>
  <w:style w:type="paragraph" w:styleId="BalloonText">
    <w:name w:val="Balloon Text"/>
    <w:basedOn w:val="Normal"/>
    <w:link w:val="BalloonTextChar"/>
    <w:uiPriority w:val="99"/>
    <w:semiHidden/>
    <w:unhideWhenUsed/>
    <w:rsid w:val="00FE22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2D6"/>
    <w:rPr>
      <w:rFonts w:ascii="Segoe UI" w:hAnsi="Segoe UI" w:cs="Segoe UI"/>
      <w:sz w:val="18"/>
      <w:szCs w:val="1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107962">
      <w:bodyDiv w:val="1"/>
      <w:marLeft w:val="0"/>
      <w:marRight w:val="0"/>
      <w:marTop w:val="0"/>
      <w:marBottom w:val="0"/>
      <w:divBdr>
        <w:top w:val="none" w:sz="0" w:space="0" w:color="auto"/>
        <w:left w:val="none" w:sz="0" w:space="0" w:color="auto"/>
        <w:bottom w:val="none" w:sz="0" w:space="0" w:color="auto"/>
        <w:right w:val="none" w:sz="0" w:space="0" w:color="auto"/>
      </w:divBdr>
      <w:divsChild>
        <w:div w:id="536967599">
          <w:marLeft w:val="0"/>
          <w:marRight w:val="0"/>
          <w:marTop w:val="0"/>
          <w:marBottom w:val="0"/>
          <w:divBdr>
            <w:top w:val="none" w:sz="0" w:space="0" w:color="auto"/>
            <w:left w:val="none" w:sz="0" w:space="0" w:color="auto"/>
            <w:bottom w:val="none" w:sz="0" w:space="0" w:color="auto"/>
            <w:right w:val="none" w:sz="0" w:space="0" w:color="auto"/>
          </w:divBdr>
        </w:div>
        <w:div w:id="1628656986">
          <w:marLeft w:val="0"/>
          <w:marRight w:val="0"/>
          <w:marTop w:val="0"/>
          <w:marBottom w:val="0"/>
          <w:divBdr>
            <w:top w:val="none" w:sz="0" w:space="0" w:color="auto"/>
            <w:left w:val="none" w:sz="0" w:space="0" w:color="auto"/>
            <w:bottom w:val="none" w:sz="0" w:space="0" w:color="auto"/>
            <w:right w:val="none" w:sz="0" w:space="0" w:color="auto"/>
          </w:divBdr>
        </w:div>
        <w:div w:id="168523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מראי מקומות-</vt:lpstr>
    </vt:vector>
  </TitlesOfParts>
  <Company>Hewlett-Packard</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מראי מקומות-</dc:title>
  <dc:subject/>
  <dc:creator>AKeilson</dc:creator>
  <cp:keywords/>
  <dc:description/>
  <cp:lastModifiedBy>Ari Keilson</cp:lastModifiedBy>
  <cp:revision>18</cp:revision>
  <cp:lastPrinted>2018-05-16T16:47:00Z</cp:lastPrinted>
  <dcterms:created xsi:type="dcterms:W3CDTF">2018-05-16T13:42:00Z</dcterms:created>
  <dcterms:modified xsi:type="dcterms:W3CDTF">2018-05-16T16:47:00Z</dcterms:modified>
</cp:coreProperties>
</file>