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A8" w:rsidRPr="001842E9" w:rsidRDefault="00161CF9" w:rsidP="001842E9">
      <w:pPr>
        <w:bidi/>
        <w:ind w:left="180" w:right="-180"/>
        <w:jc w:val="center"/>
        <w:rPr>
          <w:rFonts w:ascii="FrankRuehl" w:hAnsi="FrankRuehl" w:cs="FrankRuehl" w:hint="cs"/>
          <w:b/>
          <w:bCs/>
          <w:sz w:val="32"/>
          <w:szCs w:val="32"/>
          <w:u w:val="single"/>
          <w:rtl/>
          <w:lang w:bidi="he-IL"/>
        </w:rPr>
      </w:pPr>
      <w:r>
        <w:rPr>
          <w:rFonts w:ascii="FrankRuehl" w:hAnsi="FrankRuehl" w:cs="FrankRuehl" w:hint="cs"/>
          <w:b/>
          <w:bCs/>
          <w:sz w:val="32"/>
          <w:szCs w:val="32"/>
          <w:u w:val="single"/>
          <w:rtl/>
          <w:lang w:bidi="he-IL"/>
        </w:rPr>
        <w:t xml:space="preserve">מראי מקומות- </w:t>
      </w:r>
      <w:r w:rsidR="00E53FFB">
        <w:rPr>
          <w:rFonts w:ascii="FrankRuehl" w:hAnsi="FrankRuehl" w:cs="FrankRuehl" w:hint="cs"/>
          <w:b/>
          <w:bCs/>
          <w:sz w:val="32"/>
          <w:szCs w:val="32"/>
          <w:u w:val="single"/>
          <w:rtl/>
          <w:lang w:bidi="he-IL"/>
        </w:rPr>
        <w:t>זבחים</w:t>
      </w:r>
      <w:r w:rsidR="00843A58">
        <w:rPr>
          <w:rFonts w:ascii="FrankRuehl" w:hAnsi="FrankRuehl" w:cs="FrankRuehl" w:hint="cs"/>
          <w:b/>
          <w:bCs/>
          <w:sz w:val="32"/>
          <w:szCs w:val="32"/>
          <w:u w:val="single"/>
          <w:rtl/>
          <w:lang w:bidi="he-IL"/>
        </w:rPr>
        <w:t xml:space="preserve"> ל"ג</w:t>
      </w:r>
    </w:p>
    <w:p w:rsidR="00857DDC" w:rsidRDefault="00DD090B" w:rsidP="00857DDC">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 xml:space="preserve">כל הסמיכות שהיו שם קורא </w:t>
      </w:r>
      <w:r w:rsidR="00752E2D">
        <w:rPr>
          <w:rFonts w:ascii="FrankRuehl" w:hAnsi="FrankRuehl" w:cs="FrankRuehl" w:hint="cs"/>
          <w:b/>
          <w:bCs/>
          <w:rtl/>
          <w:lang w:bidi="he-IL"/>
        </w:rPr>
        <w:t>עליהן אני תכף לסמיכה שחיטה חוץ מזו</w:t>
      </w:r>
      <w:r w:rsidR="00857DDC">
        <w:rPr>
          <w:rFonts w:ascii="FrankRuehl" w:hAnsi="FrankRuehl" w:cs="FrankRuehl" w:hint="cs"/>
          <w:b/>
          <w:bCs/>
          <w:rtl/>
          <w:lang w:bidi="he-IL"/>
        </w:rPr>
        <w:t>-</w:t>
      </w:r>
      <w:r w:rsidR="00752E2D">
        <w:rPr>
          <w:rFonts w:ascii="FrankRuehl" w:hAnsi="FrankRuehl" w:cs="FrankRuehl" w:hint="cs"/>
          <w:rtl/>
          <w:lang w:bidi="he-IL"/>
        </w:rPr>
        <w:t xml:space="preserve"> פ</w:t>
      </w:r>
      <w:r w:rsidR="00752E2D">
        <w:rPr>
          <w:rFonts w:ascii="FrankRuehl" w:hAnsi="FrankRuehl" w:cs="FrankRuehl" w:hint="cs"/>
          <w:b/>
          <w:bCs/>
          <w:rtl/>
          <w:lang w:bidi="he-IL"/>
        </w:rPr>
        <w:t>רש"י</w:t>
      </w:r>
      <w:r w:rsidR="00752E2D">
        <w:rPr>
          <w:rFonts w:ascii="FrankRuehl" w:hAnsi="FrankRuehl" w:cs="FrankRuehl" w:hint="cs"/>
          <w:rtl/>
          <w:lang w:bidi="he-IL"/>
        </w:rPr>
        <w:t>, של אשם מצורע. והק' ה</w:t>
      </w:r>
      <w:r w:rsidR="00752E2D">
        <w:rPr>
          <w:rFonts w:ascii="FrankRuehl" w:hAnsi="FrankRuehl" w:cs="FrankRuehl" w:hint="cs"/>
          <w:b/>
          <w:bCs/>
          <w:rtl/>
          <w:lang w:bidi="he-IL"/>
        </w:rPr>
        <w:t>עולת שלמה</w:t>
      </w:r>
      <w:r w:rsidR="00752E2D">
        <w:rPr>
          <w:rFonts w:ascii="FrankRuehl" w:hAnsi="FrankRuehl" w:cs="FrankRuehl" w:hint="cs"/>
          <w:rtl/>
          <w:lang w:bidi="he-IL"/>
        </w:rPr>
        <w:t>, הא לכאו' צריך לומר דגם חטאת מצורע לא אמרי' בה תכף לסמיכה שחיטה, שהרי אינו יכול לכנוס לעזרה גם עד לאחר שמזין מדם חטאת שלו, וא"כ לכאו' אין שייך בזה תכף לסמיכה שחיטה. ותי' ע"פ מה דאי' לקמן בסוגיין דהק' הגמ' דאי סמיכת אשם מצורע דאורייתא, ליעול ולסמוך. ומסיק הגמ' דסמיכת אשם מצורע לאו דאורייתא, וא"כ י"ל דלמסקנא א"ש, די"ל דאף דסמיכת אשם מצורע לאו דאורייתא, אולם סמיכת חטאת מצורע דאורייתא, ולכן שפיר יכול לכנוס ולסמוך.</w:t>
      </w:r>
    </w:p>
    <w:p w:rsidR="00D33E88" w:rsidRDefault="00D33E88" w:rsidP="00D33E88">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 xml:space="preserve">כל הסמיכות </w:t>
      </w:r>
      <w:r w:rsidR="00C81372">
        <w:rPr>
          <w:rFonts w:ascii="FrankRuehl" w:hAnsi="FrankRuehl" w:cs="FrankRuehl" w:hint="cs"/>
          <w:b/>
          <w:bCs/>
          <w:rtl/>
          <w:lang w:bidi="he-IL"/>
        </w:rPr>
        <w:t>שהיו שם קורא עליהן אני תכף לסמיכה שחיטה חוץ מזו-</w:t>
      </w:r>
      <w:r w:rsidR="00C81372">
        <w:rPr>
          <w:rFonts w:ascii="FrankRuehl" w:hAnsi="FrankRuehl" w:cs="FrankRuehl" w:hint="cs"/>
          <w:rtl/>
          <w:lang w:bidi="he-IL"/>
        </w:rPr>
        <w:t xml:space="preserve"> ע' ב</w:t>
      </w:r>
      <w:r w:rsidR="00C81372">
        <w:rPr>
          <w:rFonts w:ascii="FrankRuehl" w:hAnsi="FrankRuehl" w:cs="FrankRuehl" w:hint="cs"/>
          <w:b/>
          <w:bCs/>
          <w:rtl/>
          <w:lang w:bidi="he-IL"/>
        </w:rPr>
        <w:t>תוס' סוטה</w:t>
      </w:r>
      <w:r w:rsidR="00C81372">
        <w:rPr>
          <w:rFonts w:ascii="FrankRuehl" w:hAnsi="FrankRuehl" w:cs="FrankRuehl" w:hint="cs"/>
          <w:rtl/>
          <w:lang w:bidi="he-IL"/>
        </w:rPr>
        <w:t xml:space="preserve"> (לג. ד"ה כל) שהביא ראי' מכאן דהשיעור תכף הוא פחות מכ"ב אמות, דהא משער נקנור עד בית המטבחים הוא כ"ב אמות, וא"כ ע"כ דכ"ב אמות לא חשיב תכף לענין שאר דינים הצריכים תכף.</w:t>
      </w:r>
      <w:r w:rsidR="008447DC">
        <w:rPr>
          <w:rFonts w:ascii="FrankRuehl" w:hAnsi="FrankRuehl" w:cs="FrankRuehl" w:hint="cs"/>
          <w:rtl/>
          <w:lang w:bidi="he-IL"/>
        </w:rPr>
        <w:t xml:space="preserve"> וכן פסק ה</w:t>
      </w:r>
      <w:r w:rsidR="008447DC">
        <w:rPr>
          <w:rFonts w:ascii="FrankRuehl" w:hAnsi="FrankRuehl" w:cs="FrankRuehl" w:hint="cs"/>
          <w:b/>
          <w:bCs/>
          <w:rtl/>
          <w:lang w:bidi="he-IL"/>
        </w:rPr>
        <w:t>רמ"א</w:t>
      </w:r>
      <w:r w:rsidR="008447DC">
        <w:rPr>
          <w:rFonts w:ascii="FrankRuehl" w:hAnsi="FrankRuehl" w:cs="FrankRuehl" w:hint="cs"/>
          <w:rtl/>
          <w:lang w:bidi="he-IL"/>
        </w:rPr>
        <w:t xml:space="preserve"> (או"ח קס"ו, א') לענין נטילת ידים. אולם ע' ב</w:t>
      </w:r>
      <w:r w:rsidR="008447DC">
        <w:rPr>
          <w:rFonts w:ascii="FrankRuehl" w:hAnsi="FrankRuehl" w:cs="FrankRuehl" w:hint="cs"/>
          <w:b/>
          <w:bCs/>
          <w:rtl/>
          <w:lang w:bidi="he-IL"/>
        </w:rPr>
        <w:t xml:space="preserve">מגן אברהם </w:t>
      </w:r>
      <w:r w:rsidR="008447DC">
        <w:rPr>
          <w:rFonts w:ascii="FrankRuehl" w:hAnsi="FrankRuehl" w:cs="FrankRuehl" w:hint="cs"/>
          <w:rtl/>
          <w:lang w:bidi="he-IL"/>
        </w:rPr>
        <w:t>שם (ג') שתמה דמסוגיין מוכח להיפוך, שהרי הק' הגמ' מההיא ברייתא למ"ד ביאת מקצת לא שמה ביאה, לעייל ידי' ולסמוך ולשחטי'</w:t>
      </w:r>
      <w:r w:rsidR="00202C55">
        <w:rPr>
          <w:rFonts w:ascii="FrankRuehl" w:hAnsi="FrankRuehl" w:cs="FrankRuehl" w:hint="cs"/>
          <w:rtl/>
          <w:lang w:bidi="he-IL"/>
        </w:rPr>
        <w:t xml:space="preserve"> שם אצל הפתח, דס"ד עכשיו דקיי"ל כרבי דכל העזרה כשרה לשחיטה. ומשני דקיי"ל כריב"י דצריך לשחוט אצל המזבח דוקא. וא"כ ק', אף למ"ד ביאת מקצת שמה ביאה, לסמוך לפני הפתח ולעיילי' ולשחטי' אצל הפתח מבפנים, אם אמרי' דפחות מכ"ב אמה נחשב תכף, ולמה ק' דוקא למ"ד ביאת מקצת לא שמי' ביאה. אע"כ כשהולך ממקום למקום חשיב הפסק אפי' הולכה מועטת, והניח בקו'.</w:t>
      </w:r>
    </w:p>
    <w:p w:rsidR="008A47D7" w:rsidRDefault="008A47D7" w:rsidP="008A47D7">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אמר ר' יוסף, כל הסומך ראשו ורובו מכניס-</w:t>
      </w:r>
      <w:r>
        <w:rPr>
          <w:rFonts w:ascii="FrankRuehl" w:hAnsi="FrankRuehl" w:cs="FrankRuehl" w:hint="cs"/>
          <w:rtl/>
          <w:lang w:bidi="he-IL"/>
        </w:rPr>
        <w:t xml:space="preserve"> ע' ב</w:t>
      </w:r>
      <w:r>
        <w:rPr>
          <w:rFonts w:ascii="FrankRuehl" w:hAnsi="FrankRuehl" w:cs="FrankRuehl" w:hint="cs"/>
          <w:b/>
          <w:bCs/>
          <w:rtl/>
          <w:lang w:bidi="he-IL"/>
        </w:rPr>
        <w:t>מקדש דוד</w:t>
      </w:r>
      <w:r>
        <w:rPr>
          <w:rFonts w:ascii="FrankRuehl" w:hAnsi="FrankRuehl" w:cs="FrankRuehl" w:hint="cs"/>
          <w:rtl/>
          <w:lang w:bidi="he-IL"/>
        </w:rPr>
        <w:t xml:space="preserve"> (</w:t>
      </w:r>
      <w:r w:rsidR="00C1664E">
        <w:rPr>
          <w:rFonts w:ascii="FrankRuehl" w:hAnsi="FrankRuehl" w:cs="FrankRuehl" w:hint="cs"/>
          <w:rtl/>
          <w:lang w:bidi="he-IL"/>
        </w:rPr>
        <w:t>ל"ח, א', ד"ה והנה לביאת) שכ' להוכיח מכאן דכדי שיחשב ביאת כולו ולא ביאת מקצת, לא סגי בהא דנכנס רובו, אלא צריך דוקא ראשו ורובו.</w:t>
      </w:r>
    </w:p>
    <w:p w:rsidR="007B099C" w:rsidRDefault="007B099C" w:rsidP="007B099C">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מ"ט, כל כחו בעינן-</w:t>
      </w:r>
      <w:r>
        <w:rPr>
          <w:rFonts w:ascii="FrankRuehl" w:hAnsi="FrankRuehl" w:cs="FrankRuehl" w:hint="cs"/>
          <w:rtl/>
          <w:lang w:bidi="he-IL"/>
        </w:rPr>
        <w:t xml:space="preserve"> ע' ב</w:t>
      </w:r>
      <w:r>
        <w:rPr>
          <w:rFonts w:ascii="FrankRuehl" w:hAnsi="FrankRuehl" w:cs="FrankRuehl" w:hint="cs"/>
          <w:b/>
          <w:bCs/>
          <w:rtl/>
          <w:lang w:bidi="he-IL"/>
        </w:rPr>
        <w:t>מצפה איתן</w:t>
      </w:r>
      <w:r>
        <w:rPr>
          <w:rFonts w:ascii="FrankRuehl" w:hAnsi="FrankRuehl" w:cs="FrankRuehl" w:hint="cs"/>
          <w:rtl/>
          <w:lang w:bidi="he-IL"/>
        </w:rPr>
        <w:t xml:space="preserve"> דדייק מכאן דכל זה להאי תירוצא, אבל משמע דלאידך תירוצא, דמוקים הברייתא כריב"י, לא בעינן סמיכה בכל כוחו, ולכן שפיר נחשב ביאה במקצת. וכ' לבאר דבאמת זהו ריב"י לשיטתו, דס"ל דסמיכה לא בעינן כל כוחו, ע"ש.</w:t>
      </w:r>
    </w:p>
    <w:p w:rsidR="007B099C" w:rsidRDefault="00684D1A" w:rsidP="007B099C">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גזירה שמא ירבה בפסיעות-</w:t>
      </w:r>
      <w:r>
        <w:rPr>
          <w:rFonts w:ascii="FrankRuehl" w:hAnsi="FrankRuehl" w:cs="FrankRuehl" w:hint="cs"/>
          <w:rtl/>
          <w:lang w:bidi="he-IL"/>
        </w:rPr>
        <w:t xml:space="preserve"> פ</w:t>
      </w:r>
      <w:r>
        <w:rPr>
          <w:rFonts w:ascii="FrankRuehl" w:hAnsi="FrankRuehl" w:cs="FrankRuehl" w:hint="cs"/>
          <w:b/>
          <w:bCs/>
          <w:rtl/>
          <w:lang w:bidi="he-IL"/>
        </w:rPr>
        <w:t>רש"י</w:t>
      </w:r>
      <w:r>
        <w:rPr>
          <w:rFonts w:ascii="FrankRuehl" w:hAnsi="FrankRuehl" w:cs="FrankRuehl" w:hint="cs"/>
          <w:rtl/>
          <w:lang w:bidi="he-IL"/>
        </w:rPr>
        <w:t>, אם נכנס פסיעה א' יותר ממה שהי' צריך לו, נמצא ענוש כרת. והק' ה</w:t>
      </w:r>
      <w:r>
        <w:rPr>
          <w:rFonts w:ascii="FrankRuehl" w:hAnsi="FrankRuehl" w:cs="FrankRuehl" w:hint="cs"/>
          <w:b/>
          <w:bCs/>
          <w:rtl/>
          <w:lang w:bidi="he-IL"/>
        </w:rPr>
        <w:t>מקדש דוד</w:t>
      </w:r>
      <w:r>
        <w:rPr>
          <w:rFonts w:ascii="FrankRuehl" w:hAnsi="FrankRuehl" w:cs="FrankRuehl" w:hint="cs"/>
          <w:rtl/>
          <w:lang w:bidi="he-IL"/>
        </w:rPr>
        <w:t xml:space="preserve"> (ל"ח, א', ד"ה אמרי'), הא כיון שנכנס בהיתר, א"כ למה חייב מיתה משום זה גרידא, לא לכאו' צריך להיות שם עכ"פ שיעור שהיי' כדי להתחייב כרת. ותי' דאם מרבה בפסיעות, הרי זה בגדר הולך בארוכה, דבזה אמרי' דאפי' אם אינו שוהה שם שיעור שהיי' חייב (ואף דב</w:t>
      </w:r>
      <w:r>
        <w:rPr>
          <w:rFonts w:ascii="FrankRuehl" w:hAnsi="FrankRuehl" w:cs="FrankRuehl" w:hint="cs"/>
          <w:b/>
          <w:bCs/>
          <w:rtl/>
          <w:lang w:bidi="he-IL"/>
        </w:rPr>
        <w:t>ירושלמי</w:t>
      </w:r>
      <w:r>
        <w:rPr>
          <w:rFonts w:ascii="FrankRuehl" w:hAnsi="FrankRuehl" w:cs="FrankRuehl" w:hint="cs"/>
          <w:rtl/>
          <w:lang w:bidi="he-IL"/>
        </w:rPr>
        <w:t xml:space="preserve"> מבואר דשיעור של הולך ארוכה הוא לכה"פ י' אמות, אולם מבואר דהבבלי חולק ע"ז).</w:t>
      </w:r>
    </w:p>
    <w:p w:rsidR="00D42767" w:rsidRDefault="00D42767" w:rsidP="00D42767">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אמר ר' אדא בר מתנה, גזירה וכו', איכא דאמרי, וכו'-</w:t>
      </w:r>
      <w:r>
        <w:rPr>
          <w:rFonts w:ascii="FrankRuehl" w:hAnsi="FrankRuehl" w:cs="FrankRuehl" w:hint="cs"/>
          <w:rtl/>
          <w:lang w:bidi="he-IL"/>
        </w:rPr>
        <w:t xml:space="preserve"> ע' ב</w:t>
      </w:r>
      <w:r>
        <w:rPr>
          <w:rFonts w:ascii="FrankRuehl" w:hAnsi="FrankRuehl" w:cs="FrankRuehl" w:hint="cs"/>
          <w:b/>
          <w:bCs/>
          <w:rtl/>
          <w:lang w:bidi="he-IL"/>
        </w:rPr>
        <w:t>קרן אורה</w:t>
      </w:r>
      <w:r>
        <w:rPr>
          <w:rFonts w:ascii="FrankRuehl" w:hAnsi="FrankRuehl" w:cs="FrankRuehl" w:hint="cs"/>
          <w:rtl/>
          <w:lang w:bidi="he-IL"/>
        </w:rPr>
        <w:t xml:space="preserve"> דביאר דנח' הלשונות בזה, דל"ק ס"ל </w:t>
      </w:r>
      <w:r w:rsidR="0008125E">
        <w:rPr>
          <w:rFonts w:ascii="FrankRuehl" w:hAnsi="FrankRuehl" w:cs="FrankRuehl" w:hint="cs"/>
          <w:rtl/>
          <w:lang w:bidi="he-IL"/>
        </w:rPr>
        <w:t>דר' אדא ס"ל דביאת מקצת לא שמה ביאה, והא דלא מעייל ידיו, או כמ"ד מרחק צפון, או כמ"ד דצריך להכניס ראשו ורובו, וקו' הגמ' הי' דמ"מ ליעול לגמרי לסמוך, וע"ז תי' גזירה שמא ירבה בפסיעות. ול"ב ס"ל דביאה במקצת שמה ביאה, ועל כן אינו יכול להכניס אף ידיו, שהרי ביאה במקצת שמה ביאה. אבל על זה הק' גמ' דליעול ידיו משום דהתורה אמרה וכו', וע"ז אין שייך לתרץ גזירה שמא ירבה בפסיעות, שהרי לא נכנס כלל. ולכן ע"ז הי' צריך לתרץ באו"א, דסמיכת אשם מצורע אינו דאורייתא, וממילא אין מקום להתיר לו להכניס ידיו, כיון דביאה במקצת שמה ביאה.</w:t>
      </w:r>
    </w:p>
    <w:p w:rsidR="00E96DC1" w:rsidRDefault="00E96DC1" w:rsidP="00E96DC1">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ותכף לסמיכה שחיטה לאו דאורייתא-</w:t>
      </w:r>
      <w:r>
        <w:rPr>
          <w:rFonts w:ascii="FrankRuehl" w:hAnsi="FrankRuehl" w:cs="FrankRuehl" w:hint="cs"/>
          <w:rtl/>
          <w:lang w:bidi="he-IL"/>
        </w:rPr>
        <w:t xml:space="preserve"> ויש לעי', אם לאו דאורייתא הוא, למה תקנוה חכמים. וכ' ה</w:t>
      </w:r>
      <w:r>
        <w:rPr>
          <w:rFonts w:ascii="FrankRuehl" w:hAnsi="FrankRuehl" w:cs="FrankRuehl" w:hint="cs"/>
          <w:b/>
          <w:bCs/>
          <w:rtl/>
          <w:lang w:bidi="he-IL"/>
        </w:rPr>
        <w:t>שפת אמת</w:t>
      </w:r>
      <w:r>
        <w:rPr>
          <w:rFonts w:ascii="FrankRuehl" w:hAnsi="FrankRuehl" w:cs="FrankRuehl" w:hint="cs"/>
          <w:rtl/>
          <w:lang w:bidi="he-IL"/>
        </w:rPr>
        <w:t xml:space="preserve">, </w:t>
      </w:r>
      <w:r w:rsidR="007C369B">
        <w:rPr>
          <w:rFonts w:ascii="FrankRuehl" w:hAnsi="FrankRuehl" w:cs="FrankRuehl" w:hint="cs"/>
          <w:rtl/>
          <w:lang w:bidi="he-IL"/>
        </w:rPr>
        <w:t>"ואפשר משום גזירה, שמא יארע אח"כ פסול בהקרבן ולא ישחטנו, ונמצא דעבד עבודה בקדשים, לכן אמרו תכף לסמיכה שחיטה".</w:t>
      </w:r>
    </w:p>
    <w:p w:rsidR="00C72D62" w:rsidRDefault="00C72D62" w:rsidP="00C72D62">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רבינא אמר לענין מלקות אתמר-</w:t>
      </w:r>
      <w:r>
        <w:rPr>
          <w:rFonts w:ascii="FrankRuehl" w:hAnsi="FrankRuehl" w:cs="FrankRuehl" w:hint="cs"/>
          <w:rtl/>
          <w:lang w:bidi="he-IL"/>
        </w:rPr>
        <w:t xml:space="preserve"> פ</w:t>
      </w:r>
      <w:r>
        <w:rPr>
          <w:rFonts w:ascii="FrankRuehl" w:hAnsi="FrankRuehl" w:cs="FrankRuehl" w:hint="cs"/>
          <w:b/>
          <w:bCs/>
          <w:rtl/>
          <w:lang w:bidi="he-IL"/>
        </w:rPr>
        <w:t>רש"י</w:t>
      </w:r>
      <w:r>
        <w:rPr>
          <w:rFonts w:ascii="FrankRuehl" w:hAnsi="FrankRuehl" w:cs="FrankRuehl" w:hint="cs"/>
          <w:rtl/>
          <w:lang w:bidi="he-IL"/>
        </w:rPr>
        <w:t xml:space="preserve">, </w:t>
      </w:r>
      <w:r w:rsidR="00AF5AF3">
        <w:rPr>
          <w:rFonts w:ascii="FrankRuehl" w:hAnsi="FrankRuehl" w:cs="FrankRuehl" w:hint="cs"/>
          <w:rtl/>
          <w:lang w:bidi="he-IL"/>
        </w:rPr>
        <w:t>דכי איתקש ביאה במקצת לנגיעה, רק לאזהרה איתקש ולא לעונש. וע' ב</w:t>
      </w:r>
      <w:r w:rsidR="00AF5AF3">
        <w:rPr>
          <w:rFonts w:ascii="FrankRuehl" w:hAnsi="FrankRuehl" w:cs="FrankRuehl" w:hint="cs"/>
          <w:b/>
          <w:bCs/>
          <w:rtl/>
          <w:lang w:bidi="he-IL"/>
        </w:rPr>
        <w:t>מנחת אברהם</w:t>
      </w:r>
      <w:r w:rsidR="00AF5AF3">
        <w:rPr>
          <w:rFonts w:ascii="FrankRuehl" w:hAnsi="FrankRuehl" w:cs="FrankRuehl" w:hint="cs"/>
          <w:rtl/>
          <w:lang w:bidi="he-IL"/>
        </w:rPr>
        <w:t xml:space="preserve"> (לעיל לב. בענין ביאה במקצת וביאת כולו) דכ' להוכיח הא דכ' שם דביאת מקצת דין אחר הוא, ולא רק גילוי בדין ביאת מקדש, מהגמ' כאן, דמחלק בין כרת למלקות בין ביאה במקצת לדין ביאת כולו, דאם ההיקש הוא לומר דביאת מקצת הוי כמו ביאת כולו, א"כ איך שייך שיתחייב רק מלקות ולא כרת. אלא ע"כ צ"ל דביאת מקצת הוא ג"כ איסור, אבל אינו איסור דביאת כולו, ולכן שייך גדרים שונים.</w:t>
      </w:r>
    </w:p>
    <w:p w:rsidR="004A7235" w:rsidRDefault="004A7235" w:rsidP="004A7235">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כי אתא רבין אמר ר' אבהו לענין טמא שנגע בקודש אתמר-</w:t>
      </w:r>
      <w:r>
        <w:rPr>
          <w:rFonts w:ascii="FrankRuehl" w:hAnsi="FrankRuehl" w:cs="FrankRuehl" w:hint="cs"/>
          <w:rtl/>
          <w:lang w:bidi="he-IL"/>
        </w:rPr>
        <w:t xml:space="preserve"> ומשמע דפליג על עולא</w:t>
      </w:r>
      <w:r w:rsidR="00CE71E3">
        <w:rPr>
          <w:rFonts w:ascii="FrankRuehl" w:hAnsi="FrankRuehl" w:cs="FrankRuehl" w:hint="cs"/>
          <w:rtl/>
          <w:lang w:bidi="he-IL"/>
        </w:rPr>
        <w:t xml:space="preserve"> דס"ל דביאה במקצת שמה ביאה. וע' ב</w:t>
      </w:r>
      <w:r w:rsidR="00CE71E3">
        <w:rPr>
          <w:rFonts w:ascii="FrankRuehl" w:hAnsi="FrankRuehl" w:cs="FrankRuehl" w:hint="cs"/>
          <w:b/>
          <w:bCs/>
          <w:rtl/>
          <w:lang w:bidi="he-IL"/>
        </w:rPr>
        <w:t>רמב"ם</w:t>
      </w:r>
      <w:r w:rsidR="00CE71E3">
        <w:rPr>
          <w:rFonts w:ascii="FrankRuehl" w:hAnsi="FrankRuehl" w:cs="FrankRuehl" w:hint="cs"/>
          <w:rtl/>
          <w:lang w:bidi="he-IL"/>
        </w:rPr>
        <w:t xml:space="preserve"> (ביאת מקדש ג', י"ח) שפסק דביאה במקצת לא שמה ביאה, אבל מכין אותו מכת מרדות. וכ' ה</w:t>
      </w:r>
      <w:r w:rsidR="00CE71E3">
        <w:rPr>
          <w:rFonts w:ascii="FrankRuehl" w:hAnsi="FrankRuehl" w:cs="FrankRuehl" w:hint="cs"/>
          <w:b/>
          <w:bCs/>
          <w:rtl/>
          <w:lang w:bidi="he-IL"/>
        </w:rPr>
        <w:t>כסף משנה</w:t>
      </w:r>
      <w:r w:rsidR="00CE71E3">
        <w:rPr>
          <w:rFonts w:ascii="FrankRuehl" w:hAnsi="FrankRuehl" w:cs="FrankRuehl" w:hint="cs"/>
          <w:rtl/>
          <w:lang w:bidi="he-IL"/>
        </w:rPr>
        <w:t xml:space="preserve"> דהרמב"ם פסק כרבין דמשמע דפליג על עולא. אולם ע' ב</w:t>
      </w:r>
      <w:r w:rsidR="00CE71E3">
        <w:rPr>
          <w:rFonts w:ascii="FrankRuehl" w:hAnsi="FrankRuehl" w:cs="FrankRuehl" w:hint="cs"/>
          <w:b/>
          <w:bCs/>
          <w:rtl/>
          <w:lang w:bidi="he-IL"/>
        </w:rPr>
        <w:t>קהלות יעקב</w:t>
      </w:r>
      <w:r w:rsidR="00CE71E3">
        <w:rPr>
          <w:rFonts w:ascii="FrankRuehl" w:hAnsi="FrankRuehl" w:cs="FrankRuehl" w:hint="cs"/>
          <w:rtl/>
          <w:lang w:bidi="he-IL"/>
        </w:rPr>
        <w:t xml:space="preserve"> (כ"ד, ב') שהביא מה שהק' ה</w:t>
      </w:r>
      <w:r w:rsidR="00CE71E3">
        <w:rPr>
          <w:rFonts w:ascii="FrankRuehl" w:hAnsi="FrankRuehl" w:cs="FrankRuehl" w:hint="cs"/>
          <w:b/>
          <w:bCs/>
          <w:rtl/>
          <w:lang w:bidi="he-IL"/>
        </w:rPr>
        <w:t>ערוך לנר</w:t>
      </w:r>
      <w:r w:rsidR="00CE71E3">
        <w:rPr>
          <w:rFonts w:ascii="FrankRuehl" w:hAnsi="FrankRuehl" w:cs="FrankRuehl" w:hint="cs"/>
          <w:rtl/>
          <w:lang w:bidi="he-IL"/>
        </w:rPr>
        <w:t xml:space="preserve"> ביבמות דף ז', דמנין לו להרמב"ם שיש איסור מדרבנן להכניס מקצת גופו, דפסק הרמב"ם דחייב מכת מרדות, מהיכי תיתי. ותי' הקה"י דביאה במקצת הוא ג"כ הכנסת טומאה למקדש, שהוא ג"כ איסור, אלא דהוי כמו חצי שיעור, דלפי ר' יוחנן אסור מן התורה (רק לא בלאו, ולכן המכות הם רק מכות מרדות), ואף למש"כ ה</w:t>
      </w:r>
      <w:r w:rsidR="00CE71E3">
        <w:rPr>
          <w:rFonts w:ascii="FrankRuehl" w:hAnsi="FrankRuehl" w:cs="FrankRuehl" w:hint="cs"/>
          <w:b/>
          <w:bCs/>
          <w:rtl/>
          <w:lang w:bidi="he-IL"/>
        </w:rPr>
        <w:t>חכם צבי</w:t>
      </w:r>
      <w:r w:rsidR="00CE71E3">
        <w:rPr>
          <w:rFonts w:ascii="FrankRuehl" w:hAnsi="FrankRuehl" w:cs="FrankRuehl" w:hint="cs"/>
          <w:rtl/>
          <w:lang w:bidi="he-IL"/>
        </w:rPr>
        <w:t xml:space="preserve"> דאיסור חצי שיעור רק באיסורי אכילה, זהו רק מדאורייתא, אבל מדרבנן פשוט דגם בשאר דברים איכא איסור חצי שיעור.</w:t>
      </w:r>
    </w:p>
    <w:p w:rsidR="00CE71E3" w:rsidRDefault="00CE71E3" w:rsidP="00CE71E3">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ההוא בתרומה כתיב-</w:t>
      </w:r>
      <w:r>
        <w:rPr>
          <w:rFonts w:ascii="FrankRuehl" w:hAnsi="FrankRuehl" w:cs="FrankRuehl" w:hint="cs"/>
          <w:rtl/>
          <w:lang w:bidi="he-IL"/>
        </w:rPr>
        <w:t xml:space="preserve"> פ</w:t>
      </w:r>
      <w:r>
        <w:rPr>
          <w:rFonts w:ascii="FrankRuehl" w:hAnsi="FrankRuehl" w:cs="FrankRuehl" w:hint="cs"/>
          <w:b/>
          <w:bCs/>
          <w:rtl/>
          <w:lang w:bidi="he-IL"/>
        </w:rPr>
        <w:t>רש"י</w:t>
      </w:r>
      <w:r>
        <w:rPr>
          <w:rFonts w:ascii="FrankRuehl" w:hAnsi="FrankRuehl" w:cs="FrankRuehl" w:hint="cs"/>
          <w:rtl/>
          <w:lang w:bidi="he-IL"/>
        </w:rPr>
        <w:t xml:space="preserve">, דקרא זו מוכרח דמיירי בתרומה, וא"כ אין למדין אלא דטמא שנגע בתרומה לוקה, אבל אין למדין דגם </w:t>
      </w:r>
      <w:r w:rsidR="003D6B2A">
        <w:rPr>
          <w:rFonts w:ascii="FrankRuehl" w:hAnsi="FrankRuehl" w:cs="FrankRuehl" w:hint="cs"/>
          <w:rtl/>
          <w:lang w:bidi="he-IL"/>
        </w:rPr>
        <w:t>נוגע בבשר קודש לוקה, דאין מזהירין מן הדין. וע' ב</w:t>
      </w:r>
      <w:r w:rsidR="003D6B2A">
        <w:rPr>
          <w:rFonts w:ascii="FrankRuehl" w:hAnsi="FrankRuehl" w:cs="FrankRuehl" w:hint="cs"/>
          <w:b/>
          <w:bCs/>
          <w:rtl/>
          <w:lang w:bidi="he-IL"/>
        </w:rPr>
        <w:t>שטמ"ק</w:t>
      </w:r>
      <w:r w:rsidR="003D6B2A">
        <w:rPr>
          <w:rFonts w:ascii="FrankRuehl" w:hAnsi="FrankRuehl" w:cs="FrankRuehl" w:hint="cs"/>
          <w:rtl/>
          <w:lang w:bidi="he-IL"/>
        </w:rPr>
        <w:t xml:space="preserve"> (א') שהביא מה</w:t>
      </w:r>
      <w:r w:rsidR="003D6B2A">
        <w:rPr>
          <w:rFonts w:ascii="FrankRuehl" w:hAnsi="FrankRuehl" w:cs="FrankRuehl" w:hint="cs"/>
          <w:b/>
          <w:bCs/>
          <w:rtl/>
          <w:lang w:bidi="he-IL"/>
        </w:rPr>
        <w:t>קדוש ר"ש מדרויש</w:t>
      </w:r>
      <w:r w:rsidR="003D6B2A">
        <w:rPr>
          <w:rFonts w:ascii="FrankRuehl" w:hAnsi="FrankRuehl" w:cs="FrankRuehl" w:hint="cs"/>
          <w:rtl/>
          <w:lang w:bidi="he-IL"/>
        </w:rPr>
        <w:t xml:space="preserve"> דפי' דההוא בתרומה דהיינו דפוסל תרומה בנגיעתה, אבל אינו לוקה משום נגיעת התרומה. וע' ב</w:t>
      </w:r>
      <w:r w:rsidR="003D6B2A">
        <w:rPr>
          <w:rFonts w:ascii="FrankRuehl" w:hAnsi="FrankRuehl" w:cs="FrankRuehl" w:hint="cs"/>
          <w:b/>
          <w:bCs/>
          <w:rtl/>
          <w:lang w:bidi="he-IL"/>
        </w:rPr>
        <w:t>שער המלך</w:t>
      </w:r>
      <w:r w:rsidR="003D6B2A">
        <w:rPr>
          <w:rFonts w:ascii="FrankRuehl" w:hAnsi="FrankRuehl" w:cs="FrankRuehl" w:hint="cs"/>
          <w:rtl/>
          <w:lang w:bidi="he-IL"/>
        </w:rPr>
        <w:t xml:space="preserve"> (תרומות י"ב, א', ד"ה דע שמדברי) שהק' על שי' רש"י מהגמ' במכות (יד:) דאי' שם ההיא באכילה וההיא </w:t>
      </w:r>
      <w:r w:rsidR="003D6B2A">
        <w:rPr>
          <w:rFonts w:ascii="FrankRuehl" w:hAnsi="FrankRuehl" w:cs="FrankRuehl" w:hint="cs"/>
          <w:rtl/>
          <w:lang w:bidi="he-IL"/>
        </w:rPr>
        <w:lastRenderedPageBreak/>
        <w:t>בנגיעה, דהיינו דלוקה על אכילת תרומה, ואם אי' דלוקה גם על נגיעתה, למה לי קרא דלוקה על אכילתה, תיפוק לי' דהא נגע בי'. ותי' דאה"נ, לוקה אף על אכילתה, מלבד מה שלוקה משום שכבר נגע בי'.</w:t>
      </w:r>
    </w:p>
    <w:p w:rsidR="00752E2D" w:rsidRPr="008773ED" w:rsidRDefault="00E9405F" w:rsidP="00752E2D">
      <w:pPr>
        <w:pStyle w:val="ListParagraph"/>
        <w:numPr>
          <w:ilvl w:val="0"/>
          <w:numId w:val="8"/>
        </w:numPr>
        <w:bidi/>
        <w:ind w:right="-180"/>
        <w:jc w:val="both"/>
        <w:rPr>
          <w:rFonts w:ascii="FrankRuehl" w:hAnsi="FrankRuehl" w:cs="FrankRuehl"/>
          <w:rtl/>
          <w:lang w:bidi="he-IL"/>
        </w:rPr>
      </w:pPr>
      <w:r>
        <w:rPr>
          <w:rFonts w:ascii="FrankRuehl" w:hAnsi="FrankRuehl" w:cs="FrankRuehl" w:hint="cs"/>
          <w:b/>
          <w:bCs/>
          <w:rtl/>
          <w:lang w:bidi="he-IL"/>
        </w:rPr>
        <w:t>תניא כוותי' דר"ל</w:t>
      </w:r>
      <w:r w:rsidR="00752E2D">
        <w:rPr>
          <w:rFonts w:ascii="FrankRuehl" w:hAnsi="FrankRuehl" w:cs="FrankRuehl" w:hint="cs"/>
          <w:b/>
          <w:bCs/>
          <w:rtl/>
          <w:lang w:bidi="he-IL"/>
        </w:rPr>
        <w:t>-</w:t>
      </w:r>
      <w:r>
        <w:rPr>
          <w:rFonts w:ascii="FrankRuehl" w:hAnsi="FrankRuehl" w:cs="FrankRuehl" w:hint="cs"/>
          <w:rtl/>
          <w:lang w:bidi="he-IL"/>
        </w:rPr>
        <w:t xml:space="preserve"> העיר ה</w:t>
      </w:r>
      <w:r>
        <w:rPr>
          <w:rFonts w:ascii="FrankRuehl" w:hAnsi="FrankRuehl" w:cs="FrankRuehl" w:hint="cs"/>
          <w:b/>
          <w:bCs/>
          <w:rtl/>
          <w:lang w:bidi="he-IL"/>
        </w:rPr>
        <w:t>שפת אמת</w:t>
      </w:r>
      <w:r>
        <w:rPr>
          <w:rFonts w:ascii="FrankRuehl" w:hAnsi="FrankRuehl" w:cs="FrankRuehl" w:hint="cs"/>
          <w:rtl/>
          <w:lang w:bidi="he-IL"/>
        </w:rPr>
        <w:t xml:space="preserve">, דהא לכאו' אין ראי' מהברייתא אלא דאזהרת טמא שאכל את הקודש הוא מבכל קודש לא תגע, אבל לא להך קמייתא, דטמא שנגע בקודש לוקה (וכ"כ </w:t>
      </w:r>
      <w:r>
        <w:rPr>
          <w:rFonts w:ascii="FrankRuehl" w:hAnsi="FrankRuehl" w:cs="FrankRuehl" w:hint="cs"/>
          <w:b/>
          <w:bCs/>
          <w:rtl/>
          <w:lang w:bidi="he-IL"/>
        </w:rPr>
        <w:t>רש"י</w:t>
      </w:r>
      <w:r>
        <w:rPr>
          <w:rFonts w:ascii="FrankRuehl" w:hAnsi="FrankRuehl" w:cs="FrankRuehl" w:hint="cs"/>
          <w:rtl/>
          <w:lang w:bidi="he-IL"/>
        </w:rPr>
        <w:t xml:space="preserve">, דהתניא כוותי' הוא להך דאיסור אוכל מהכא). </w:t>
      </w:r>
      <w:r w:rsidR="00B95A38">
        <w:rPr>
          <w:rFonts w:ascii="FrankRuehl" w:hAnsi="FrankRuehl" w:cs="FrankRuehl" w:hint="cs"/>
          <w:rtl/>
          <w:lang w:bidi="he-IL"/>
        </w:rPr>
        <w:t>אולם כ' דכיון דכל טעם דר' יוחנן דהנוגע בתרומה לא לקי הוא משום דקרא דכתי' בתרומה הוא דכתי', וברייתא זו מבואר דקרא בתרומה כתיב, א"כ שפיר הוי ראי' לזה ג"כ.</w:t>
      </w:r>
      <w:bookmarkStart w:id="0" w:name="_GoBack"/>
      <w:bookmarkEnd w:id="0"/>
    </w:p>
    <w:sectPr w:rsidR="00752E2D" w:rsidRPr="008773ED" w:rsidSect="00AB57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A2E"/>
    <w:multiLevelType w:val="hybridMultilevel"/>
    <w:tmpl w:val="5F6878C6"/>
    <w:lvl w:ilvl="0" w:tplc="6038B918">
      <w:start w:val="1"/>
      <w:numFmt w:val="hebrew1"/>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7DA31D8"/>
    <w:multiLevelType w:val="hybridMultilevel"/>
    <w:tmpl w:val="70201842"/>
    <w:lvl w:ilvl="0" w:tplc="798ED83E">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CE11F1C"/>
    <w:multiLevelType w:val="hybridMultilevel"/>
    <w:tmpl w:val="7338A6DA"/>
    <w:lvl w:ilvl="0" w:tplc="A82C3E04">
      <w:start w:val="1"/>
      <w:numFmt w:val="hebrew1"/>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6757D24"/>
    <w:multiLevelType w:val="hybridMultilevel"/>
    <w:tmpl w:val="12A21E62"/>
    <w:lvl w:ilvl="0" w:tplc="DB282EC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94A86"/>
    <w:multiLevelType w:val="hybridMultilevel"/>
    <w:tmpl w:val="456A6A1A"/>
    <w:lvl w:ilvl="0" w:tplc="CA4EB9AA">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3242C40"/>
    <w:multiLevelType w:val="hybridMultilevel"/>
    <w:tmpl w:val="3156FFFC"/>
    <w:lvl w:ilvl="0" w:tplc="5BCC1AD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887AF2"/>
    <w:multiLevelType w:val="hybridMultilevel"/>
    <w:tmpl w:val="E4BA6AB2"/>
    <w:lvl w:ilvl="0" w:tplc="0C92A148">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47D4240"/>
    <w:multiLevelType w:val="hybridMultilevel"/>
    <w:tmpl w:val="FE602D50"/>
    <w:lvl w:ilvl="0" w:tplc="E03AADA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64"/>
    <w:rsid w:val="00007C46"/>
    <w:rsid w:val="0001248A"/>
    <w:rsid w:val="00014C48"/>
    <w:rsid w:val="00052A0C"/>
    <w:rsid w:val="0008125E"/>
    <w:rsid w:val="000830DA"/>
    <w:rsid w:val="000C33FA"/>
    <w:rsid w:val="000F05F4"/>
    <w:rsid w:val="000F5B42"/>
    <w:rsid w:val="001266A5"/>
    <w:rsid w:val="001324F8"/>
    <w:rsid w:val="001410AE"/>
    <w:rsid w:val="00161CF9"/>
    <w:rsid w:val="001842E9"/>
    <w:rsid w:val="00193A0E"/>
    <w:rsid w:val="001A1441"/>
    <w:rsid w:val="001D4723"/>
    <w:rsid w:val="00202C55"/>
    <w:rsid w:val="00266E96"/>
    <w:rsid w:val="002721B0"/>
    <w:rsid w:val="00280476"/>
    <w:rsid w:val="00287EDC"/>
    <w:rsid w:val="002D6E55"/>
    <w:rsid w:val="002E110C"/>
    <w:rsid w:val="002E168F"/>
    <w:rsid w:val="002F4EA0"/>
    <w:rsid w:val="00387581"/>
    <w:rsid w:val="00397472"/>
    <w:rsid w:val="003A7B0D"/>
    <w:rsid w:val="003B6F3F"/>
    <w:rsid w:val="003D6B2A"/>
    <w:rsid w:val="003D6C3A"/>
    <w:rsid w:val="003F43BB"/>
    <w:rsid w:val="00400747"/>
    <w:rsid w:val="00426309"/>
    <w:rsid w:val="004300D4"/>
    <w:rsid w:val="004833D0"/>
    <w:rsid w:val="004A7235"/>
    <w:rsid w:val="004B4557"/>
    <w:rsid w:val="004B790B"/>
    <w:rsid w:val="004E5EBF"/>
    <w:rsid w:val="005609F3"/>
    <w:rsid w:val="005E3741"/>
    <w:rsid w:val="0060602F"/>
    <w:rsid w:val="00637064"/>
    <w:rsid w:val="00640EBE"/>
    <w:rsid w:val="00672BE0"/>
    <w:rsid w:val="00683DA6"/>
    <w:rsid w:val="00684D1A"/>
    <w:rsid w:val="006B3B3F"/>
    <w:rsid w:val="006F2EBB"/>
    <w:rsid w:val="00734AC1"/>
    <w:rsid w:val="007449A5"/>
    <w:rsid w:val="00752E2D"/>
    <w:rsid w:val="00765073"/>
    <w:rsid w:val="007B0505"/>
    <w:rsid w:val="007B099C"/>
    <w:rsid w:val="007C369B"/>
    <w:rsid w:val="007E1701"/>
    <w:rsid w:val="00812394"/>
    <w:rsid w:val="00836793"/>
    <w:rsid w:val="00843A58"/>
    <w:rsid w:val="008447DC"/>
    <w:rsid w:val="0084554D"/>
    <w:rsid w:val="00857DDC"/>
    <w:rsid w:val="008773ED"/>
    <w:rsid w:val="008A47D7"/>
    <w:rsid w:val="009000D0"/>
    <w:rsid w:val="00944C83"/>
    <w:rsid w:val="00972B04"/>
    <w:rsid w:val="00980A78"/>
    <w:rsid w:val="00984919"/>
    <w:rsid w:val="009860A4"/>
    <w:rsid w:val="00990F5F"/>
    <w:rsid w:val="009B6F27"/>
    <w:rsid w:val="00A24D57"/>
    <w:rsid w:val="00A379FA"/>
    <w:rsid w:val="00A450EC"/>
    <w:rsid w:val="00A74C08"/>
    <w:rsid w:val="00A9072D"/>
    <w:rsid w:val="00AB5703"/>
    <w:rsid w:val="00AF5AF3"/>
    <w:rsid w:val="00B95A38"/>
    <w:rsid w:val="00BF04B3"/>
    <w:rsid w:val="00BF0D26"/>
    <w:rsid w:val="00C158A3"/>
    <w:rsid w:val="00C1664E"/>
    <w:rsid w:val="00C21268"/>
    <w:rsid w:val="00C27D18"/>
    <w:rsid w:val="00C31AD2"/>
    <w:rsid w:val="00C3558B"/>
    <w:rsid w:val="00C47E43"/>
    <w:rsid w:val="00C6210C"/>
    <w:rsid w:val="00C72D62"/>
    <w:rsid w:val="00C75FD2"/>
    <w:rsid w:val="00C81372"/>
    <w:rsid w:val="00C97800"/>
    <w:rsid w:val="00CE59B9"/>
    <w:rsid w:val="00CE71E3"/>
    <w:rsid w:val="00CF0560"/>
    <w:rsid w:val="00CF0680"/>
    <w:rsid w:val="00CF1133"/>
    <w:rsid w:val="00D200CC"/>
    <w:rsid w:val="00D33E88"/>
    <w:rsid w:val="00D42767"/>
    <w:rsid w:val="00D761A8"/>
    <w:rsid w:val="00D95D74"/>
    <w:rsid w:val="00DC50D9"/>
    <w:rsid w:val="00DD090B"/>
    <w:rsid w:val="00DD1BD9"/>
    <w:rsid w:val="00E15513"/>
    <w:rsid w:val="00E33EF6"/>
    <w:rsid w:val="00E53FFB"/>
    <w:rsid w:val="00E9405F"/>
    <w:rsid w:val="00E96DC1"/>
    <w:rsid w:val="00F1254F"/>
    <w:rsid w:val="00F361A0"/>
    <w:rsid w:val="00F80690"/>
    <w:rsid w:val="00F826A6"/>
    <w:rsid w:val="00FA0BB8"/>
    <w:rsid w:val="00FC58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AD159"/>
  <w15:chartTrackingRefBased/>
  <w15:docId w15:val="{EB3C471E-2DD1-4FC0-B0F3-9C10E73F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BF"/>
    <w:pPr>
      <w:ind w:left="720"/>
      <w:contextualSpacing/>
    </w:pPr>
  </w:style>
  <w:style w:type="paragraph" w:styleId="BalloonText">
    <w:name w:val="Balloon Text"/>
    <w:basedOn w:val="Normal"/>
    <w:link w:val="BalloonTextChar"/>
    <w:uiPriority w:val="99"/>
    <w:semiHidden/>
    <w:unhideWhenUsed/>
    <w:rsid w:val="00AB5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03"/>
    <w:rPr>
      <w:rFonts w:ascii="Segoe UI" w:hAnsi="Segoe UI" w:cs="Segoe UI"/>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07962">
      <w:bodyDiv w:val="1"/>
      <w:marLeft w:val="0"/>
      <w:marRight w:val="0"/>
      <w:marTop w:val="0"/>
      <w:marBottom w:val="0"/>
      <w:divBdr>
        <w:top w:val="none" w:sz="0" w:space="0" w:color="auto"/>
        <w:left w:val="none" w:sz="0" w:space="0" w:color="auto"/>
        <w:bottom w:val="none" w:sz="0" w:space="0" w:color="auto"/>
        <w:right w:val="none" w:sz="0" w:space="0" w:color="auto"/>
      </w:divBdr>
      <w:divsChild>
        <w:div w:id="536967599">
          <w:marLeft w:val="0"/>
          <w:marRight w:val="0"/>
          <w:marTop w:val="0"/>
          <w:marBottom w:val="0"/>
          <w:divBdr>
            <w:top w:val="none" w:sz="0" w:space="0" w:color="auto"/>
            <w:left w:val="none" w:sz="0" w:space="0" w:color="auto"/>
            <w:bottom w:val="none" w:sz="0" w:space="0" w:color="auto"/>
            <w:right w:val="none" w:sz="0" w:space="0" w:color="auto"/>
          </w:divBdr>
        </w:div>
        <w:div w:id="1628656986">
          <w:marLeft w:val="0"/>
          <w:marRight w:val="0"/>
          <w:marTop w:val="0"/>
          <w:marBottom w:val="0"/>
          <w:divBdr>
            <w:top w:val="none" w:sz="0" w:space="0" w:color="auto"/>
            <w:left w:val="none" w:sz="0" w:space="0" w:color="auto"/>
            <w:bottom w:val="none" w:sz="0" w:space="0" w:color="auto"/>
            <w:right w:val="none" w:sz="0" w:space="0" w:color="auto"/>
          </w:divBdr>
        </w:div>
        <w:div w:id="1685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מראי מקומות-</vt:lpstr>
    </vt:vector>
  </TitlesOfParts>
  <Company>Hewlett-Packard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מראי מקומות-</dc:title>
  <dc:subject/>
  <dc:creator>AKeilson</dc:creator>
  <cp:keywords/>
  <dc:description/>
  <cp:lastModifiedBy>Ari Keilson</cp:lastModifiedBy>
  <cp:revision>13</cp:revision>
  <cp:lastPrinted>2018-05-15T16:34:00Z</cp:lastPrinted>
  <dcterms:created xsi:type="dcterms:W3CDTF">2018-05-15T00:04:00Z</dcterms:created>
  <dcterms:modified xsi:type="dcterms:W3CDTF">2018-05-15T16:35:00Z</dcterms:modified>
</cp:coreProperties>
</file>